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C7" w:rsidRPr="001E7BFF" w:rsidRDefault="001E7BFF" w:rsidP="001E7BFF">
      <w:pPr>
        <w:jc w:val="right"/>
        <w:rPr>
          <w:sz w:val="36"/>
          <w:szCs w:val="36"/>
        </w:rPr>
      </w:pPr>
      <w:r w:rsidRPr="001E7BFF">
        <w:rPr>
          <w:sz w:val="36"/>
          <w:szCs w:val="36"/>
        </w:rPr>
        <w:t>Appendix A</w:t>
      </w:r>
    </w:p>
    <w:p w:rsidR="00010062" w:rsidRDefault="00010062"/>
    <w:p w:rsidR="00E362C7" w:rsidRPr="00463E94" w:rsidRDefault="00C21314" w:rsidP="00E362C7">
      <w:pPr>
        <w:pBdr>
          <w:bottom w:val="single" w:sz="4" w:space="1" w:color="auto"/>
        </w:pBdr>
        <w:rPr>
          <w:b/>
          <w:sz w:val="28"/>
          <w:szCs w:val="28"/>
        </w:rPr>
      </w:pPr>
      <w:r w:rsidRPr="00C21314">
        <w:rPr>
          <w:b/>
          <w:sz w:val="28"/>
          <w:szCs w:val="28"/>
        </w:rPr>
        <w:t xml:space="preserve">Review of Treasury </w:t>
      </w:r>
      <w:r w:rsidR="000A72B6" w:rsidRPr="00C21314">
        <w:rPr>
          <w:b/>
          <w:sz w:val="28"/>
          <w:szCs w:val="28"/>
        </w:rPr>
        <w:t xml:space="preserve">Management </w:t>
      </w:r>
      <w:r w:rsidR="000A72B6">
        <w:rPr>
          <w:b/>
          <w:sz w:val="28"/>
          <w:szCs w:val="28"/>
        </w:rPr>
        <w:t>2013</w:t>
      </w:r>
      <w:r w:rsidR="00714805">
        <w:rPr>
          <w:b/>
          <w:sz w:val="28"/>
          <w:szCs w:val="28"/>
        </w:rPr>
        <w:t>/14</w:t>
      </w:r>
    </w:p>
    <w:p w:rsidR="00E362C7" w:rsidRDefault="00E362C7" w:rsidP="00E362C7"/>
    <w:p w:rsidR="000250BE" w:rsidRPr="00962ABD" w:rsidRDefault="000250BE" w:rsidP="000250BE">
      <w:pPr>
        <w:jc w:val="both"/>
        <w:rPr>
          <w:b/>
        </w:rPr>
      </w:pPr>
      <w:r w:rsidRPr="00962ABD">
        <w:rPr>
          <w:b/>
        </w:rPr>
        <w:t>Introduction</w:t>
      </w:r>
    </w:p>
    <w:p w:rsidR="000250BE" w:rsidRPr="00962ABD" w:rsidRDefault="000250BE" w:rsidP="000250BE">
      <w:pPr>
        <w:jc w:val="both"/>
      </w:pPr>
    </w:p>
    <w:p w:rsidR="00A177C3" w:rsidRPr="00962ABD" w:rsidRDefault="00A177C3" w:rsidP="00A177C3">
      <w:pPr>
        <w:spacing w:line="276" w:lineRule="auto"/>
        <w:jc w:val="both"/>
        <w:rPr>
          <w:szCs w:val="24"/>
        </w:rPr>
      </w:pPr>
      <w:r w:rsidRPr="00962ABD">
        <w:rPr>
          <w:szCs w:val="24"/>
        </w:rPr>
        <w:t xml:space="preserve">The </w:t>
      </w:r>
      <w:r w:rsidR="000F1A22">
        <w:rPr>
          <w:szCs w:val="24"/>
        </w:rPr>
        <w:t>County Council</w:t>
      </w:r>
      <w:r w:rsidRPr="00962ABD">
        <w:rPr>
          <w:szCs w:val="24"/>
        </w:rPr>
        <w:t xml:space="preserve">’s treasury management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  </w:t>
      </w:r>
    </w:p>
    <w:p w:rsidR="000250BE" w:rsidRPr="00962ABD" w:rsidRDefault="000250BE" w:rsidP="000250BE">
      <w:pPr>
        <w:jc w:val="both"/>
      </w:pPr>
    </w:p>
    <w:p w:rsidR="000250BE" w:rsidRPr="00962ABD" w:rsidRDefault="000250BE" w:rsidP="00E362C7"/>
    <w:p w:rsidR="00E362C7" w:rsidRPr="00962ABD" w:rsidRDefault="00E362C7" w:rsidP="00E362C7">
      <w:pPr>
        <w:numPr>
          <w:ilvl w:val="0"/>
          <w:numId w:val="4"/>
        </w:numPr>
        <w:rPr>
          <w:b/>
        </w:rPr>
      </w:pPr>
      <w:r w:rsidRPr="00962ABD">
        <w:rPr>
          <w:b/>
        </w:rPr>
        <w:t>Econom</w:t>
      </w:r>
      <w:r w:rsidR="00735017" w:rsidRPr="00962ABD">
        <w:rPr>
          <w:b/>
        </w:rPr>
        <w:t>ic Summary</w:t>
      </w:r>
      <w:r w:rsidRPr="00962ABD">
        <w:rPr>
          <w:b/>
        </w:rPr>
        <w:t xml:space="preserve"> 201</w:t>
      </w:r>
      <w:r w:rsidR="00E40463" w:rsidRPr="00962ABD">
        <w:rPr>
          <w:b/>
        </w:rPr>
        <w:t>3/14</w:t>
      </w:r>
    </w:p>
    <w:p w:rsidR="00735017" w:rsidRDefault="00735017" w:rsidP="00735017">
      <w:pPr>
        <w:rPr>
          <w:b/>
          <w:highlight w:val="green"/>
        </w:rPr>
      </w:pPr>
    </w:p>
    <w:p w:rsidR="00A177C3" w:rsidRPr="00A177C3" w:rsidRDefault="00A177C3" w:rsidP="00A177C3">
      <w:pPr>
        <w:spacing w:after="180" w:line="276" w:lineRule="auto"/>
        <w:jc w:val="both"/>
        <w:rPr>
          <w:szCs w:val="24"/>
        </w:rPr>
      </w:pPr>
      <w:r w:rsidRPr="00A177C3">
        <w:rPr>
          <w:szCs w:val="24"/>
        </w:rPr>
        <w:lastRenderedPageBreak/>
        <w:t xml:space="preserve">At the beginning of the 2013-14 financial year markets were concerned about lacklustre growth in the Eurozone, the UK and Japan.  Lack of growth in the UK economy, the threat of a ‘triple-dip’ alongside falling real wages (i.e. after inflation) and the paucity of business investment were a concern for the Bank of England’s Monetary Policy Committee. Only two major economies – the US and Germany – had growth above pre financial crisis levels, albeit these were still below trend.  The Eurozone had navigated through a turbulent period for its disparate sovereigns and the likelihood of a near-term disorderly collapse had significantly diminished.  The US government had just managed to avoid the fiscal cliff and a technical default in early 2013, only for the problem to re-emerge later in the year.  </w:t>
      </w:r>
    </w:p>
    <w:p w:rsidR="00A177C3" w:rsidRPr="00A177C3" w:rsidRDefault="00A177C3" w:rsidP="00A177C3">
      <w:pPr>
        <w:spacing w:after="180" w:line="276" w:lineRule="auto"/>
        <w:jc w:val="both"/>
        <w:rPr>
          <w:szCs w:val="24"/>
        </w:rPr>
      </w:pPr>
      <w:r w:rsidRPr="00A177C3">
        <w:rPr>
          <w:szCs w:val="24"/>
        </w:rPr>
        <w:t xml:space="preserve">With new Governor Mark Carney at the helm, the Bank of England unveiled forward guidance in August pledging to not consider raising interest rates until the </w:t>
      </w:r>
      <w:r w:rsidR="002E1EA5" w:rsidRPr="005455A5">
        <w:rPr>
          <w:szCs w:val="24"/>
        </w:rPr>
        <w:t xml:space="preserve">International </w:t>
      </w:r>
      <w:r w:rsidRPr="005455A5">
        <w:rPr>
          <w:szCs w:val="24"/>
        </w:rPr>
        <w:t>L</w:t>
      </w:r>
      <w:r w:rsidR="002E1EA5" w:rsidRPr="005455A5">
        <w:rPr>
          <w:szCs w:val="24"/>
        </w:rPr>
        <w:t>abour Organisation (ILO)</w:t>
      </w:r>
      <w:r w:rsidRPr="007E3513">
        <w:rPr>
          <w:color w:val="FF0000"/>
          <w:szCs w:val="24"/>
        </w:rPr>
        <w:t xml:space="preserve"> </w:t>
      </w:r>
      <w:r w:rsidRPr="00A177C3">
        <w:rPr>
          <w:szCs w:val="24"/>
        </w:rPr>
        <w:t xml:space="preserve">unemployment rate </w:t>
      </w:r>
      <w:r w:rsidRPr="00A177C3">
        <w:rPr>
          <w:szCs w:val="24"/>
        </w:rPr>
        <w:lastRenderedPageBreak/>
        <w:t xml:space="preserve">fell below the 7% threshold. In the Bank’s initial forecast, this level was only expected to be reached in 2016.  Although the Bank stressed that this level was a threshold for consideration of rate increase rather an automatic trigger, markets began pricing in a much earlier rise than was warranted and, as a result, gilt yields rose aggressively. </w:t>
      </w:r>
    </w:p>
    <w:p w:rsidR="00A177C3" w:rsidRPr="00A177C3" w:rsidRDefault="00A177C3" w:rsidP="00A177C3">
      <w:pPr>
        <w:spacing w:after="180" w:line="276" w:lineRule="auto"/>
        <w:jc w:val="both"/>
        <w:rPr>
          <w:szCs w:val="24"/>
        </w:rPr>
      </w:pPr>
      <w:r w:rsidRPr="00A177C3">
        <w:rPr>
          <w:szCs w:val="24"/>
        </w:rPr>
        <w:t>The recovery in the UK surprised with strong economic activity and growth</w:t>
      </w:r>
      <w:r w:rsidRPr="005455A5">
        <w:rPr>
          <w:szCs w:val="24"/>
        </w:rPr>
        <w:t>. Q</w:t>
      </w:r>
      <w:r w:rsidR="002E1EA5" w:rsidRPr="005455A5">
        <w:rPr>
          <w:szCs w:val="24"/>
        </w:rPr>
        <w:t xml:space="preserve">uarter </w:t>
      </w:r>
      <w:r w:rsidRPr="005455A5">
        <w:rPr>
          <w:szCs w:val="24"/>
        </w:rPr>
        <w:t>4 2014 G</w:t>
      </w:r>
      <w:r w:rsidR="002E1EA5" w:rsidRPr="005455A5">
        <w:rPr>
          <w:szCs w:val="24"/>
        </w:rPr>
        <w:t xml:space="preserve">ross </w:t>
      </w:r>
      <w:r w:rsidRPr="005455A5">
        <w:rPr>
          <w:szCs w:val="24"/>
        </w:rPr>
        <w:t>D</w:t>
      </w:r>
      <w:r w:rsidR="002E1EA5" w:rsidRPr="005455A5">
        <w:rPr>
          <w:szCs w:val="24"/>
        </w:rPr>
        <w:t xml:space="preserve">omestic </w:t>
      </w:r>
      <w:r w:rsidRPr="005455A5">
        <w:rPr>
          <w:szCs w:val="24"/>
        </w:rPr>
        <w:t>P</w:t>
      </w:r>
      <w:r w:rsidR="002E1EA5" w:rsidRPr="005455A5">
        <w:rPr>
          <w:szCs w:val="24"/>
        </w:rPr>
        <w:t>roduct (GDP)</w:t>
      </w:r>
      <w:r w:rsidRPr="007E3513">
        <w:rPr>
          <w:color w:val="FF0000"/>
          <w:szCs w:val="24"/>
        </w:rPr>
        <w:t xml:space="preserve"> </w:t>
      </w:r>
      <w:r w:rsidRPr="00A177C3">
        <w:rPr>
          <w:szCs w:val="24"/>
        </w:rPr>
        <w:t xml:space="preserve">showed year-on-year growth of 2.7%. Much of the improvement was down to the dominant service sector, and an increase in household consumption buoyed by the pick-up in housing transactions which were driven by higher consumer confidence, greater availability of credit and strengthening house prices which were partly boosted by government initiatives such as Help-to-Buy. However, business investment had yet to recover convincingly and the recovery was not accompanied by meaningful productivity </w:t>
      </w:r>
      <w:r w:rsidRPr="00A177C3">
        <w:rPr>
          <w:szCs w:val="24"/>
        </w:rPr>
        <w:lastRenderedPageBreak/>
        <w:t xml:space="preserve">growth. Worries of a housing bubble were tempered by evidence that net mortgage lending was up by only around 1% annually.              </w:t>
      </w:r>
    </w:p>
    <w:p w:rsidR="00A177C3" w:rsidRPr="00A177C3" w:rsidRDefault="001A491E" w:rsidP="00A177C3">
      <w:pPr>
        <w:spacing w:after="180" w:line="276" w:lineRule="auto"/>
        <w:jc w:val="both"/>
        <w:rPr>
          <w:szCs w:val="24"/>
        </w:rPr>
      </w:pPr>
      <w:r w:rsidRPr="005455A5">
        <w:rPr>
          <w:szCs w:val="24"/>
        </w:rPr>
        <w:t xml:space="preserve">The </w:t>
      </w:r>
      <w:r w:rsidR="00A177C3" w:rsidRPr="005455A5">
        <w:rPr>
          <w:szCs w:val="24"/>
        </w:rPr>
        <w:t>C</w:t>
      </w:r>
      <w:r w:rsidRPr="005455A5">
        <w:rPr>
          <w:szCs w:val="24"/>
        </w:rPr>
        <w:t>onsumer Price Index (CPI)</w:t>
      </w:r>
      <w:r w:rsidR="00A177C3" w:rsidRPr="00A177C3">
        <w:rPr>
          <w:szCs w:val="24"/>
        </w:rPr>
        <w:t xml:space="preserve"> fell from 2.8% in March 2013 to 1.7% in February 2014, the lowest rate since October 2009, helped largely by the easing commodity prices and discounting by retailers, reducing the pressure on the Bank to raise rates.  Although the fall in unemployment (down from 7.8% in March 2013 to 7.2% in January 2014) was faster than the Bank of England or indeed many analysts had forecast, it hid a stubbornly high level of underemployment. Importantly, average earnings growth remained muted and real wage growth (i.e. after inflation) was negative. In February the Bank stepped back from forward guidance relying on a single indicator – the unemployment rate – to more complex measures which included spare capacity within the economy. The Bank also implied that when official interest rates were raised, the increases would be gradual </w:t>
      </w:r>
      <w:r w:rsidR="00A177C3" w:rsidRPr="00A177C3">
        <w:rPr>
          <w:szCs w:val="24"/>
        </w:rPr>
        <w:lastRenderedPageBreak/>
        <w:t xml:space="preserve">– this helped underpin the ‘low for longer’ interest rate outlook despite the momentum in the economy.  </w:t>
      </w:r>
    </w:p>
    <w:p w:rsidR="00A177C3" w:rsidRPr="00A177C3" w:rsidRDefault="00A177C3" w:rsidP="00A177C3">
      <w:pPr>
        <w:spacing w:after="180" w:line="276" w:lineRule="auto"/>
        <w:jc w:val="both"/>
        <w:rPr>
          <w:szCs w:val="24"/>
        </w:rPr>
      </w:pPr>
      <w:r w:rsidRPr="00A177C3">
        <w:rPr>
          <w:szCs w:val="24"/>
        </w:rPr>
        <w:t xml:space="preserve">The Office of Budget Responsibility’s 2.7% forecast for economic growth in 2014 forecast a quicker fall in public borrowing over the next few years.  However, the Chancellor resisted the temptation to spend some of the proceeds of higher economic growth.  In his 2013 Autumn Statement and the 2014 Budget, apart from the rise in the personal tax allowance and pension changes, there were no significant giveaways and the coalition’s austerity measures remained on track.   </w:t>
      </w:r>
    </w:p>
    <w:p w:rsidR="00A177C3" w:rsidRPr="00A177C3" w:rsidRDefault="00A177C3" w:rsidP="00A177C3">
      <w:pPr>
        <w:spacing w:after="180" w:line="276" w:lineRule="auto"/>
        <w:jc w:val="both"/>
        <w:rPr>
          <w:szCs w:val="24"/>
        </w:rPr>
      </w:pPr>
      <w:r w:rsidRPr="00A177C3">
        <w:rPr>
          <w:szCs w:val="24"/>
        </w:rPr>
        <w:t xml:space="preserve">The Federal Reserve’s then Chairman Ben Bernanke’s announcement in May that the Fed’s quantitative easing (QE) programme may be ‘tapered’ caught markets by surprise. Investors began to factor in not just an end to QE but also rapid rises in interest rates.  ‘Tapering’ (a slowing in the rate of QE) began in December 2013.  By March 2014, asset purchases had been cut from $75bn </w:t>
      </w:r>
      <w:r w:rsidRPr="00A177C3">
        <w:rPr>
          <w:szCs w:val="24"/>
        </w:rPr>
        <w:lastRenderedPageBreak/>
        <w:t xml:space="preserve">to $55bn per month with expectation that QE would end by October 2014. This had particular implications for global markets which had hitherto benefited from, and got very accustomed to, the high levels of global liquidity afforded by QE.  The impact went further than a rise in the dollar and higher US </w:t>
      </w:r>
      <w:r w:rsidR="00AD2550" w:rsidRPr="00A177C3">
        <w:rPr>
          <w:szCs w:val="24"/>
        </w:rPr>
        <w:t>Treasury</w:t>
      </w:r>
      <w:r w:rsidRPr="00A177C3">
        <w:rPr>
          <w:szCs w:val="24"/>
        </w:rPr>
        <w:t xml:space="preserve"> bond yields. Gilt yields also rose as a consequence and emerging markets, which had previously benefited as investors searched for yield through riskier asset, suffered large capital outflows in December and January.  </w:t>
      </w:r>
    </w:p>
    <w:p w:rsidR="00A177C3" w:rsidRPr="00A177C3" w:rsidRDefault="00A177C3" w:rsidP="00A177C3">
      <w:pPr>
        <w:spacing w:after="180" w:line="276" w:lineRule="auto"/>
        <w:jc w:val="both"/>
        <w:rPr>
          <w:szCs w:val="24"/>
        </w:rPr>
      </w:pPr>
      <w:r w:rsidRPr="00A177C3">
        <w:rPr>
          <w:szCs w:val="24"/>
        </w:rPr>
        <w:t xml:space="preserve">With the Eurozone struggling to show sustainable growth, the European Central Bank </w:t>
      </w:r>
      <w:r w:rsidR="001A491E">
        <w:rPr>
          <w:szCs w:val="24"/>
        </w:rPr>
        <w:t xml:space="preserve">(ECB) </w:t>
      </w:r>
      <w:r w:rsidRPr="00A177C3">
        <w:rPr>
          <w:szCs w:val="24"/>
        </w:rPr>
        <w:t xml:space="preserve">cut main policy interest rates by 0.25% to 0.25% and the deposit rate to zero.  Markets were disappointed by the lack of action by the ECB despite CPI inflation below 1% and a looming threat of deflation.  Data pointed to an economic slowdown in China which, alongside a weakening property market and a highly leveraged shadow banking sector, could prove challenging for its authorities.  </w:t>
      </w:r>
    </w:p>
    <w:p w:rsidR="00A177C3" w:rsidRPr="001A491E" w:rsidRDefault="00A177C3" w:rsidP="00A177C3">
      <w:pPr>
        <w:spacing w:after="180" w:line="276" w:lineRule="auto"/>
        <w:jc w:val="both"/>
        <w:rPr>
          <w:color w:val="FF0000"/>
          <w:szCs w:val="24"/>
        </w:rPr>
      </w:pPr>
      <w:r w:rsidRPr="001A491E">
        <w:rPr>
          <w:szCs w:val="24"/>
        </w:rPr>
        <w:lastRenderedPageBreak/>
        <w:t xml:space="preserve">Russia’s annexation of the Ukraine in March heightened geopolitical tensions and risk. The response from the West which began with sanctions against Russia which is the second largest gas producer in the world and which supplies nearly 30% of European natural gas needs and is also a significant supplier of crude </w:t>
      </w:r>
      <w:r w:rsidRPr="005455A5">
        <w:rPr>
          <w:szCs w:val="24"/>
        </w:rPr>
        <w:t xml:space="preserve">oil – any major disruption to their supply would have serious ramifications for energy prices.  </w:t>
      </w:r>
    </w:p>
    <w:p w:rsidR="00A177C3" w:rsidRPr="00A177C3" w:rsidRDefault="00A177C3" w:rsidP="00A177C3">
      <w:pPr>
        <w:spacing w:after="180" w:line="276" w:lineRule="auto"/>
        <w:jc w:val="both"/>
        <w:rPr>
          <w:szCs w:val="24"/>
        </w:rPr>
      </w:pPr>
      <w:r w:rsidRPr="00A177C3">
        <w:rPr>
          <w:szCs w:val="24"/>
        </w:rPr>
        <w:t xml:space="preserve">Gilt Yields and Money Market Rates: Gilt yields ended the year higher than the start in April. The peak in yields was during autumn 2013. The biggest increase was in 5-year gilt yields which increased by nearly 1.3% from 0.70% to 1.97%.  10-year gilt yields rose by nearly 1% ending the year at 2.73%.  The increase was less pronounced for longer dated gilts; 20-year yields rose from 2.74% to 3.37% and 50-year yields rose from 3.23% to 3.44%. </w:t>
      </w:r>
    </w:p>
    <w:p w:rsidR="00A177C3" w:rsidRPr="00A177C3" w:rsidRDefault="00A177C3" w:rsidP="00A177C3">
      <w:pPr>
        <w:spacing w:line="276" w:lineRule="auto"/>
        <w:jc w:val="both"/>
        <w:rPr>
          <w:szCs w:val="24"/>
        </w:rPr>
      </w:pPr>
      <w:r w:rsidRPr="00A177C3">
        <w:rPr>
          <w:szCs w:val="24"/>
        </w:rPr>
        <w:lastRenderedPageBreak/>
        <w:t xml:space="preserve">3-month, 6-month and 12-month </w:t>
      </w:r>
      <w:r w:rsidRPr="005455A5">
        <w:rPr>
          <w:szCs w:val="24"/>
        </w:rPr>
        <w:t>L</w:t>
      </w:r>
      <w:r w:rsidR="002E1EA5" w:rsidRPr="005455A5">
        <w:rPr>
          <w:szCs w:val="24"/>
        </w:rPr>
        <w:t xml:space="preserve">ondon </w:t>
      </w:r>
      <w:r w:rsidRPr="005455A5">
        <w:rPr>
          <w:szCs w:val="24"/>
        </w:rPr>
        <w:t>i</w:t>
      </w:r>
      <w:r w:rsidR="002E1EA5" w:rsidRPr="005455A5">
        <w:rPr>
          <w:szCs w:val="24"/>
        </w:rPr>
        <w:t>nter</w:t>
      </w:r>
      <w:r w:rsidRPr="005455A5">
        <w:rPr>
          <w:szCs w:val="24"/>
        </w:rPr>
        <w:t>b</w:t>
      </w:r>
      <w:r w:rsidR="002E1EA5" w:rsidRPr="005455A5">
        <w:rPr>
          <w:szCs w:val="24"/>
        </w:rPr>
        <w:t>ank bid</w:t>
      </w:r>
      <w:r w:rsidRPr="005455A5">
        <w:rPr>
          <w:szCs w:val="24"/>
        </w:rPr>
        <w:t xml:space="preserve"> rates</w:t>
      </w:r>
      <w:r w:rsidR="002E1EA5" w:rsidRPr="005455A5">
        <w:rPr>
          <w:szCs w:val="24"/>
        </w:rPr>
        <w:t xml:space="preserve"> (LIBID)</w:t>
      </w:r>
      <w:r w:rsidRPr="005455A5">
        <w:rPr>
          <w:szCs w:val="24"/>
        </w:rPr>
        <w:t xml:space="preserve"> remained</w:t>
      </w:r>
      <w:r w:rsidRPr="00A177C3">
        <w:rPr>
          <w:szCs w:val="24"/>
        </w:rPr>
        <w:t xml:space="preserve"> at levels below 1% through the year. </w:t>
      </w:r>
    </w:p>
    <w:p w:rsidR="00A177C3" w:rsidRDefault="00A177C3" w:rsidP="00A177C3">
      <w:pPr>
        <w:keepNext/>
        <w:widowControl w:val="0"/>
        <w:tabs>
          <w:tab w:val="left" w:pos="720"/>
        </w:tabs>
        <w:suppressAutoHyphens/>
        <w:spacing w:after="170"/>
        <w:jc w:val="both"/>
        <w:outlineLvl w:val="0"/>
        <w:rPr>
          <w:szCs w:val="24"/>
        </w:rPr>
      </w:pPr>
    </w:p>
    <w:p w:rsidR="00C86A6C" w:rsidRDefault="00C86A6C" w:rsidP="00C86A6C">
      <w:pPr>
        <w:autoSpaceDE w:val="0"/>
        <w:autoSpaceDN w:val="0"/>
        <w:adjustRightInd w:val="0"/>
        <w:rPr>
          <w:b/>
          <w:szCs w:val="24"/>
        </w:rPr>
      </w:pPr>
      <w:r>
        <w:rPr>
          <w:b/>
          <w:szCs w:val="24"/>
        </w:rPr>
        <w:t>2.</w:t>
      </w:r>
      <w:r w:rsidR="0099227E" w:rsidRPr="0099227E">
        <w:rPr>
          <w:b/>
          <w:szCs w:val="24"/>
        </w:rPr>
        <w:t xml:space="preserve"> </w:t>
      </w:r>
      <w:r w:rsidR="0099227E">
        <w:rPr>
          <w:b/>
          <w:szCs w:val="24"/>
        </w:rPr>
        <w:t>Change to Legislation</w:t>
      </w:r>
      <w:r>
        <w:rPr>
          <w:b/>
          <w:szCs w:val="24"/>
        </w:rPr>
        <w:t xml:space="preserve">: </w:t>
      </w:r>
      <w:r w:rsidR="0099227E">
        <w:rPr>
          <w:b/>
          <w:szCs w:val="24"/>
        </w:rPr>
        <w:t xml:space="preserve"> </w:t>
      </w:r>
      <w:r w:rsidRPr="00952442">
        <w:rPr>
          <w:b/>
          <w:szCs w:val="24"/>
        </w:rPr>
        <w:t>Bank Regulation and Bail-in</w:t>
      </w:r>
    </w:p>
    <w:p w:rsidR="00BE6FB4" w:rsidRDefault="00BE6FB4" w:rsidP="00BE6FB4">
      <w:pPr>
        <w:autoSpaceDE w:val="0"/>
        <w:autoSpaceDN w:val="0"/>
      </w:pPr>
    </w:p>
    <w:p w:rsidR="00BE6FB4" w:rsidRDefault="00BE6FB4" w:rsidP="00BE6FB4">
      <w:pPr>
        <w:autoSpaceDE w:val="0"/>
        <w:autoSpaceDN w:val="0"/>
      </w:pPr>
      <w:r>
        <w:t>Bondholders are being required in the future</w:t>
      </w:r>
      <w:r w:rsidR="00E6187B">
        <w:t xml:space="preserve"> to</w:t>
      </w:r>
      <w:r>
        <w:t xml:space="preserve"> forfeit part of their investment to bail in a bank before tax payers are called upon to bail it out. So far </w:t>
      </w:r>
      <w:r>
        <w:rPr>
          <w:color w:val="000000"/>
        </w:rPr>
        <w:t>bond holders have been untouched as equity holders have an obligation to pay their creditors</w:t>
      </w:r>
      <w:r w:rsidR="00B8395C">
        <w:rPr>
          <w:color w:val="000000"/>
        </w:rPr>
        <w:t>.</w:t>
      </w:r>
    </w:p>
    <w:p w:rsidR="00BE6FB4" w:rsidRDefault="00BE6FB4" w:rsidP="00BE6FB4">
      <w:pPr>
        <w:autoSpaceDE w:val="0"/>
        <w:autoSpaceDN w:val="0"/>
      </w:pPr>
      <w:r>
        <w:rPr>
          <w:color w:val="000000"/>
        </w:rPr>
        <w:t> </w:t>
      </w:r>
    </w:p>
    <w:p w:rsidR="00BE6FB4" w:rsidRDefault="00BE6FB4" w:rsidP="00BE6FB4">
      <w:pPr>
        <w:autoSpaceDE w:val="0"/>
        <w:autoSpaceDN w:val="0"/>
      </w:pPr>
      <w:r>
        <w:rPr>
          <w:color w:val="000000"/>
        </w:rPr>
        <w:t>A bail-in takes place before a bankruptcy and under current proposals; regulators would have the power to impose losses on bondholders while leaving untouched other creditors of similar stature, such as derivatives counterparties.</w:t>
      </w:r>
    </w:p>
    <w:p w:rsidR="00BE6FB4" w:rsidRDefault="00BE6FB4" w:rsidP="00BE6FB4">
      <w:pPr>
        <w:pStyle w:val="ListParagraph"/>
        <w:autoSpaceDE w:val="0"/>
        <w:autoSpaceDN w:val="0"/>
        <w:ind w:left="360"/>
      </w:pPr>
      <w:r>
        <w:rPr>
          <w:b/>
          <w:bCs/>
        </w:rPr>
        <w:t> </w:t>
      </w:r>
    </w:p>
    <w:p w:rsidR="00BE6FB4" w:rsidRDefault="00BE6FB4" w:rsidP="00BE6FB4">
      <w:pPr>
        <w:autoSpaceDE w:val="0"/>
        <w:autoSpaceDN w:val="0"/>
      </w:pPr>
      <w:r w:rsidRPr="00D91CCA">
        <w:rPr>
          <w:bCs/>
        </w:rPr>
        <w:lastRenderedPageBreak/>
        <w:t>There is an EU Bank Recovery and Resolution Directive (Proposal 2013 – due for implementation January 2016)</w:t>
      </w:r>
      <w:r w:rsidR="00D91CCA">
        <w:rPr>
          <w:bCs/>
        </w:rPr>
        <w:t xml:space="preserve"> </w:t>
      </w:r>
      <w:r w:rsidR="00D91CCA">
        <w:t>w</w:t>
      </w:r>
      <w:r>
        <w:t>hich proposes that national regulators will be required to bail-in creditors in order of seniority until their losses reach at least 8% of the bank’s liabilities before any government money can be injected</w:t>
      </w:r>
      <w:r w:rsidR="00D91CCA">
        <w:t>.</w:t>
      </w:r>
    </w:p>
    <w:p w:rsidR="00BE6FB4" w:rsidRDefault="00BE6FB4" w:rsidP="00BE6FB4">
      <w:pPr>
        <w:autoSpaceDE w:val="0"/>
        <w:autoSpaceDN w:val="0"/>
      </w:pPr>
      <w:r>
        <w:t> </w:t>
      </w:r>
    </w:p>
    <w:p w:rsidR="00BE6FB4" w:rsidRDefault="00BE6FB4" w:rsidP="00BE6FB4">
      <w:pPr>
        <w:autoSpaceDE w:val="0"/>
        <w:autoSpaceDN w:val="0"/>
      </w:pPr>
      <w:r>
        <w:t>Many liabilities are exempt from bail-in such as:-</w:t>
      </w:r>
    </w:p>
    <w:p w:rsidR="00537653" w:rsidRDefault="00537653" w:rsidP="00BE6FB4">
      <w:pPr>
        <w:autoSpaceDE w:val="0"/>
        <w:autoSpaceDN w:val="0"/>
      </w:pPr>
    </w:p>
    <w:p w:rsidR="00BE6FB4" w:rsidRDefault="00BE6FB4" w:rsidP="00BE6FB4">
      <w:pPr>
        <w:pStyle w:val="ListParagraph"/>
        <w:autoSpaceDE w:val="0"/>
        <w:autoSpaceDN w:val="0"/>
        <w:ind w:hanging="360"/>
      </w:pPr>
      <w:r>
        <w:rPr>
          <w:rFonts w:ascii="Symbol" w:hAnsi="Symbol"/>
        </w:rPr>
        <w:t></w:t>
      </w:r>
      <w:r>
        <w:rPr>
          <w:rFonts w:ascii="Times New Roman" w:hAnsi="Times New Roman"/>
          <w:sz w:val="14"/>
          <w:szCs w:val="14"/>
        </w:rPr>
        <w:t xml:space="preserve">        </w:t>
      </w:r>
      <w:r>
        <w:t>insured retail and small business deposits</w:t>
      </w:r>
      <w:r w:rsidR="00E6187B">
        <w:t>,</w:t>
      </w:r>
      <w:r w:rsidR="00D57100">
        <w:t xml:space="preserve"> </w:t>
      </w:r>
      <w:r>
        <w:t>interbank lending with a maturity of less than one week</w:t>
      </w:r>
      <w:r>
        <w:rPr>
          <w:color w:val="1F497D"/>
        </w:rPr>
        <w:t xml:space="preserve">, </w:t>
      </w:r>
      <w:r>
        <w:t>secured debt such as covered bonds</w:t>
      </w:r>
      <w:r>
        <w:rPr>
          <w:color w:val="1F497D"/>
        </w:rPr>
        <w:t xml:space="preserve"> </w:t>
      </w:r>
      <w:r w:rsidRPr="00D57100">
        <w:t>or Asset backed securities</w:t>
      </w:r>
    </w:p>
    <w:p w:rsidR="00BE6FB4" w:rsidRPr="00D91CCA" w:rsidRDefault="00BE6FB4" w:rsidP="00BE6FB4">
      <w:pPr>
        <w:autoSpaceDE w:val="0"/>
        <w:autoSpaceDN w:val="0"/>
      </w:pPr>
      <w:r>
        <w:t> </w:t>
      </w:r>
    </w:p>
    <w:p w:rsidR="00BE6FB4" w:rsidRDefault="00BE6FB4" w:rsidP="00BE6FB4">
      <w:pPr>
        <w:autoSpaceDE w:val="0"/>
        <w:autoSpaceDN w:val="0"/>
        <w:rPr>
          <w:szCs w:val="24"/>
        </w:rPr>
      </w:pPr>
      <w:r w:rsidRPr="00D91CCA">
        <w:rPr>
          <w:bCs/>
        </w:rPr>
        <w:t>This would leave local authority and other large deposits as one of the few categories able to take losses</w:t>
      </w:r>
      <w:r w:rsidR="00D91CCA">
        <w:rPr>
          <w:bCs/>
        </w:rPr>
        <w:t>.</w:t>
      </w:r>
      <w:r w:rsidR="00537653">
        <w:rPr>
          <w:bCs/>
        </w:rPr>
        <w:t xml:space="preserve"> For example, </w:t>
      </w:r>
      <w:r w:rsidRPr="00BE6FB4">
        <w:rPr>
          <w:szCs w:val="24"/>
        </w:rPr>
        <w:t>if unsecured bonds and wholesale deposits make up just 20% of the balance sheet, they will need to</w:t>
      </w:r>
      <w:r w:rsidR="00B8395C">
        <w:rPr>
          <w:szCs w:val="24"/>
        </w:rPr>
        <w:t>:</w:t>
      </w:r>
    </w:p>
    <w:p w:rsidR="00124AD6" w:rsidRPr="00BE6FB4" w:rsidRDefault="00124AD6" w:rsidP="00BE6FB4">
      <w:pPr>
        <w:autoSpaceDE w:val="0"/>
        <w:autoSpaceDN w:val="0"/>
        <w:rPr>
          <w:szCs w:val="24"/>
        </w:rPr>
      </w:pPr>
    </w:p>
    <w:p w:rsidR="00BE6FB4" w:rsidRPr="00BE6FB4" w:rsidRDefault="00BE6FB4" w:rsidP="00537653">
      <w:pPr>
        <w:pStyle w:val="ListParagraph"/>
        <w:numPr>
          <w:ilvl w:val="0"/>
          <w:numId w:val="25"/>
        </w:numPr>
        <w:autoSpaceDE w:val="0"/>
        <w:autoSpaceDN w:val="0"/>
        <w:rPr>
          <w:szCs w:val="24"/>
        </w:rPr>
      </w:pPr>
      <w:r w:rsidRPr="00BE6FB4">
        <w:rPr>
          <w:szCs w:val="24"/>
        </w:rPr>
        <w:t>take a cut of 40% to write down 8% of total liabilities</w:t>
      </w:r>
    </w:p>
    <w:p w:rsidR="00BE6FB4" w:rsidRPr="00BE6FB4" w:rsidRDefault="00010062" w:rsidP="00B52D86">
      <w:pPr>
        <w:pStyle w:val="ListParagraph"/>
        <w:numPr>
          <w:ilvl w:val="0"/>
          <w:numId w:val="25"/>
        </w:numPr>
        <w:autoSpaceDE w:val="0"/>
        <w:autoSpaceDN w:val="0"/>
        <w:rPr>
          <w:szCs w:val="24"/>
        </w:rPr>
      </w:pPr>
      <w:r>
        <w:rPr>
          <w:szCs w:val="24"/>
        </w:rPr>
        <w:lastRenderedPageBreak/>
        <w:t>Governments</w:t>
      </w:r>
      <w:r w:rsidR="00BE6FB4" w:rsidRPr="00BE6FB4">
        <w:rPr>
          <w:szCs w:val="24"/>
        </w:rPr>
        <w:t xml:space="preserve"> can then contribute up to 5% of the failing bank’s</w:t>
      </w:r>
      <w:r w:rsidR="00124AD6">
        <w:rPr>
          <w:szCs w:val="24"/>
        </w:rPr>
        <w:t xml:space="preserve"> </w:t>
      </w:r>
      <w:r w:rsidR="00BE6FB4" w:rsidRPr="00BE6FB4">
        <w:rPr>
          <w:szCs w:val="24"/>
        </w:rPr>
        <w:t>liabilities</w:t>
      </w:r>
    </w:p>
    <w:p w:rsidR="00BE6FB4" w:rsidRPr="00BE6FB4" w:rsidRDefault="00BE6FB4" w:rsidP="00BE6FB4">
      <w:pPr>
        <w:autoSpaceDE w:val="0"/>
        <w:autoSpaceDN w:val="0"/>
        <w:rPr>
          <w:szCs w:val="24"/>
        </w:rPr>
      </w:pPr>
      <w:r w:rsidRPr="00BE6FB4">
        <w:rPr>
          <w:szCs w:val="24"/>
        </w:rPr>
        <w:t> </w:t>
      </w:r>
    </w:p>
    <w:p w:rsidR="00BE6FB4" w:rsidRPr="00BE6FB4" w:rsidRDefault="00BE6FB4" w:rsidP="00BE6FB4">
      <w:pPr>
        <w:autoSpaceDE w:val="0"/>
        <w:autoSpaceDN w:val="0"/>
        <w:rPr>
          <w:szCs w:val="24"/>
        </w:rPr>
      </w:pPr>
      <w:r w:rsidRPr="00BE6FB4">
        <w:rPr>
          <w:szCs w:val="24"/>
        </w:rPr>
        <w:t>If further funds are required, these must come from deeper cuts on unsecured creditors. It will be illegal for any more government money to be injected until bondholders and wholesale depositors were completely wiped out</w:t>
      </w:r>
      <w:r w:rsidR="00E6187B">
        <w:rPr>
          <w:szCs w:val="24"/>
        </w:rPr>
        <w:t>.</w:t>
      </w:r>
    </w:p>
    <w:p w:rsidR="00BE6FB4" w:rsidRPr="00BE6FB4" w:rsidRDefault="00BE6FB4" w:rsidP="00BE6FB4">
      <w:pPr>
        <w:autoSpaceDE w:val="0"/>
        <w:autoSpaceDN w:val="0"/>
        <w:rPr>
          <w:szCs w:val="24"/>
        </w:rPr>
      </w:pPr>
      <w:r w:rsidRPr="00BE6FB4">
        <w:rPr>
          <w:szCs w:val="24"/>
        </w:rPr>
        <w:t>  </w:t>
      </w:r>
    </w:p>
    <w:p w:rsidR="00BE6FB4" w:rsidRPr="00BE6FB4" w:rsidRDefault="00BE6FB4" w:rsidP="00BE6FB4">
      <w:pPr>
        <w:autoSpaceDE w:val="0"/>
        <w:autoSpaceDN w:val="0"/>
        <w:rPr>
          <w:szCs w:val="24"/>
        </w:rPr>
      </w:pPr>
      <w:r w:rsidRPr="00BE6FB4">
        <w:rPr>
          <w:szCs w:val="24"/>
        </w:rPr>
        <w:t>In December 2013 it became law that investor bail-ins will now replace government bail-outs in the UK</w:t>
      </w:r>
      <w:r w:rsidR="00010062" w:rsidRPr="00BE6FB4">
        <w:rPr>
          <w:szCs w:val="24"/>
        </w:rPr>
        <w:t> as</w:t>
      </w:r>
      <w:r w:rsidRPr="00BE6FB4">
        <w:rPr>
          <w:szCs w:val="24"/>
        </w:rPr>
        <w:t xml:space="preserve"> per the Financial Services (Banking Reform) Act 2013</w:t>
      </w:r>
      <w:r w:rsidR="00D91CCA">
        <w:rPr>
          <w:szCs w:val="24"/>
        </w:rPr>
        <w:t>.</w:t>
      </w:r>
    </w:p>
    <w:p w:rsidR="00BE6FB4" w:rsidRPr="00BE6FB4" w:rsidRDefault="00BE6FB4" w:rsidP="00BE6FB4">
      <w:pPr>
        <w:rPr>
          <w:szCs w:val="24"/>
        </w:rPr>
      </w:pPr>
      <w:r w:rsidRPr="00BE6FB4">
        <w:rPr>
          <w:szCs w:val="24"/>
        </w:rPr>
        <w:t> </w:t>
      </w:r>
    </w:p>
    <w:p w:rsidR="00BE6FB4" w:rsidRPr="00BE6FB4" w:rsidRDefault="00BE6FB4" w:rsidP="00BE6FB4">
      <w:pPr>
        <w:autoSpaceDE w:val="0"/>
        <w:autoSpaceDN w:val="0"/>
        <w:rPr>
          <w:szCs w:val="24"/>
        </w:rPr>
      </w:pPr>
      <w:r w:rsidRPr="00BE6FB4">
        <w:rPr>
          <w:szCs w:val="24"/>
        </w:rPr>
        <w:t>In summary, from a Local Government treasury management perspective, the maximum risk investment policy is to exclusively invest reserves and balances in the form of bank deposits directly or through money market funds where the funds investment strategy is predominately bank deposit or certificate of deposit (CD) based, in this case a Councils full investment portfolio will be "at risk" in the event of a credit event.</w:t>
      </w:r>
    </w:p>
    <w:p w:rsidR="00BE6FB4" w:rsidRPr="00BE6FB4" w:rsidRDefault="00BE6FB4" w:rsidP="00BE6FB4">
      <w:pPr>
        <w:autoSpaceDE w:val="0"/>
        <w:autoSpaceDN w:val="0"/>
        <w:rPr>
          <w:szCs w:val="24"/>
        </w:rPr>
      </w:pPr>
    </w:p>
    <w:p w:rsidR="00D91CCA" w:rsidRDefault="00BE6FB4" w:rsidP="00BE6FB4">
      <w:pPr>
        <w:autoSpaceDE w:val="0"/>
        <w:autoSpaceDN w:val="0"/>
        <w:rPr>
          <w:szCs w:val="24"/>
        </w:rPr>
      </w:pPr>
      <w:r w:rsidRPr="00BE6FB4">
        <w:rPr>
          <w:szCs w:val="24"/>
        </w:rPr>
        <w:lastRenderedPageBreak/>
        <w:t>LCC has had a deliberate "low credit risk" investment policy in place for a number of year</w:t>
      </w:r>
      <w:r w:rsidR="004C50F4">
        <w:rPr>
          <w:szCs w:val="24"/>
        </w:rPr>
        <w:t>s</w:t>
      </w:r>
      <w:r w:rsidRPr="00BE6FB4">
        <w:rPr>
          <w:szCs w:val="24"/>
        </w:rPr>
        <w:t>, replacing bank deposits with bonds issued by governments, government agencies, government guaranteed bodies, supranational bodies and collateralized bonds in the main. LCCs position is therefore substantially insulated from the effects of this legislation in the event of an individual or systemic banking "credit event"</w:t>
      </w:r>
      <w:r w:rsidR="00D91CCA">
        <w:rPr>
          <w:szCs w:val="24"/>
        </w:rPr>
        <w:t>.</w:t>
      </w:r>
    </w:p>
    <w:p w:rsidR="00D91CCA" w:rsidRDefault="00D91CCA" w:rsidP="00BE6FB4">
      <w:pPr>
        <w:autoSpaceDE w:val="0"/>
        <w:autoSpaceDN w:val="0"/>
        <w:rPr>
          <w:szCs w:val="24"/>
        </w:rPr>
      </w:pPr>
    </w:p>
    <w:p w:rsidR="00BE6FB4" w:rsidRPr="00BE6FB4" w:rsidRDefault="00D91CCA" w:rsidP="00BE6FB4">
      <w:pPr>
        <w:autoSpaceDE w:val="0"/>
        <w:autoSpaceDN w:val="0"/>
        <w:rPr>
          <w:szCs w:val="24"/>
        </w:rPr>
      </w:pPr>
      <w:r>
        <w:rPr>
          <w:szCs w:val="24"/>
        </w:rPr>
        <w:t>Evidence of this low credit risk can be seen in the results of the Arlingclose benchmarking shown in the Appendices.</w:t>
      </w:r>
      <w:r w:rsidR="00BE6FB4" w:rsidRPr="00BE6FB4">
        <w:rPr>
          <w:szCs w:val="24"/>
        </w:rPr>
        <w:t xml:space="preserve"> </w:t>
      </w:r>
    </w:p>
    <w:p w:rsidR="00C86A6C" w:rsidRPr="0099227E" w:rsidRDefault="00BE6FB4" w:rsidP="0099227E">
      <w:pPr>
        <w:autoSpaceDE w:val="0"/>
        <w:autoSpaceDN w:val="0"/>
        <w:adjustRightInd w:val="0"/>
        <w:rPr>
          <w:szCs w:val="24"/>
        </w:rPr>
      </w:pPr>
      <w:r w:rsidRPr="00EA2A56" w:rsidDel="00BE6FB4">
        <w:rPr>
          <w:szCs w:val="24"/>
        </w:rPr>
        <w:t xml:space="preserve"> </w:t>
      </w:r>
    </w:p>
    <w:p w:rsidR="008664F8" w:rsidRDefault="008664F8" w:rsidP="00323279">
      <w:pPr>
        <w:rPr>
          <w:szCs w:val="24"/>
        </w:rPr>
      </w:pPr>
    </w:p>
    <w:p w:rsidR="00735017" w:rsidRPr="006B6339" w:rsidRDefault="003C00FC" w:rsidP="00323279">
      <w:pPr>
        <w:rPr>
          <w:b/>
        </w:rPr>
      </w:pPr>
      <w:r>
        <w:rPr>
          <w:szCs w:val="24"/>
        </w:rPr>
        <w:t xml:space="preserve"> </w:t>
      </w:r>
      <w:r w:rsidR="00E6187B">
        <w:rPr>
          <w:b/>
        </w:rPr>
        <w:t>3.</w:t>
      </w:r>
      <w:r w:rsidR="00E6187B" w:rsidRPr="006B6339">
        <w:rPr>
          <w:b/>
        </w:rPr>
        <w:t xml:space="preserve"> Treasury</w:t>
      </w:r>
      <w:r w:rsidR="00735017" w:rsidRPr="006B6339">
        <w:rPr>
          <w:b/>
        </w:rPr>
        <w:t xml:space="preserve"> Management Strategy 201</w:t>
      </w:r>
      <w:r w:rsidR="00714805" w:rsidRPr="006B6339">
        <w:rPr>
          <w:b/>
        </w:rPr>
        <w:t>3/14</w:t>
      </w:r>
    </w:p>
    <w:p w:rsidR="00714805" w:rsidRPr="006B6339" w:rsidRDefault="00714805" w:rsidP="00714805">
      <w:pPr>
        <w:ind w:left="360"/>
        <w:rPr>
          <w:b/>
        </w:rPr>
      </w:pPr>
    </w:p>
    <w:p w:rsidR="00735017" w:rsidRPr="006B6339" w:rsidRDefault="00F66A7E" w:rsidP="00735017">
      <w:pPr>
        <w:jc w:val="both"/>
        <w:rPr>
          <w:szCs w:val="24"/>
          <w:lang w:eastAsia="en-US"/>
        </w:rPr>
      </w:pPr>
      <w:r w:rsidRPr="006B6339">
        <w:rPr>
          <w:szCs w:val="24"/>
        </w:rPr>
        <w:t xml:space="preserve">The Full </w:t>
      </w:r>
      <w:r w:rsidR="00735017" w:rsidRPr="006B6339">
        <w:rPr>
          <w:szCs w:val="24"/>
        </w:rPr>
        <w:t>Council approved the 201</w:t>
      </w:r>
      <w:r w:rsidR="00BD2BC1" w:rsidRPr="006B6339">
        <w:rPr>
          <w:szCs w:val="24"/>
        </w:rPr>
        <w:t xml:space="preserve">3/14 </w:t>
      </w:r>
      <w:r w:rsidR="00735017" w:rsidRPr="006B6339">
        <w:rPr>
          <w:szCs w:val="24"/>
        </w:rPr>
        <w:t xml:space="preserve">treasury management strategy at its meeting on </w:t>
      </w:r>
      <w:r w:rsidR="006B6339">
        <w:rPr>
          <w:szCs w:val="24"/>
          <w:lang w:eastAsia="en-US"/>
        </w:rPr>
        <w:t>11</w:t>
      </w:r>
      <w:r w:rsidR="006B6339" w:rsidRPr="006B6339">
        <w:rPr>
          <w:szCs w:val="24"/>
          <w:vertAlign w:val="superscript"/>
          <w:lang w:eastAsia="en-US"/>
        </w:rPr>
        <w:t>th</w:t>
      </w:r>
      <w:r w:rsidR="00735017" w:rsidRPr="006B6339">
        <w:rPr>
          <w:b/>
          <w:i/>
          <w:color w:val="FF0000"/>
          <w:szCs w:val="24"/>
          <w:lang w:eastAsia="en-US"/>
        </w:rPr>
        <w:t xml:space="preserve"> </w:t>
      </w:r>
      <w:r w:rsidR="00735017" w:rsidRPr="006B6339">
        <w:rPr>
          <w:szCs w:val="24"/>
          <w:lang w:eastAsia="en-US"/>
        </w:rPr>
        <w:t>February 201</w:t>
      </w:r>
      <w:r w:rsidR="006B6339">
        <w:rPr>
          <w:szCs w:val="24"/>
          <w:lang w:eastAsia="en-US"/>
        </w:rPr>
        <w:t>3</w:t>
      </w:r>
      <w:r w:rsidR="00735017" w:rsidRPr="006B6339">
        <w:rPr>
          <w:szCs w:val="24"/>
          <w:lang w:eastAsia="en-US"/>
        </w:rPr>
        <w:t>.  The Council’s stated investment priorities were:</w:t>
      </w:r>
    </w:p>
    <w:p w:rsidR="00735017" w:rsidRPr="006B6339" w:rsidRDefault="00735017" w:rsidP="00735017">
      <w:pPr>
        <w:jc w:val="both"/>
        <w:rPr>
          <w:szCs w:val="24"/>
          <w:lang w:eastAsia="en-US"/>
        </w:rPr>
      </w:pPr>
    </w:p>
    <w:p w:rsidR="00735017" w:rsidRPr="006B6339" w:rsidRDefault="00735017" w:rsidP="00735017">
      <w:pPr>
        <w:spacing w:before="45" w:after="45"/>
        <w:jc w:val="both"/>
        <w:rPr>
          <w:rFonts w:cs="Arial"/>
          <w:szCs w:val="24"/>
        </w:rPr>
      </w:pPr>
      <w:r w:rsidRPr="006B6339">
        <w:rPr>
          <w:rFonts w:cs="Arial"/>
          <w:szCs w:val="24"/>
        </w:rPr>
        <w:t>(a)</w:t>
      </w:r>
      <w:r w:rsidR="008E0E40" w:rsidRPr="006B6339">
        <w:rPr>
          <w:rFonts w:cs="Arial"/>
          <w:szCs w:val="24"/>
        </w:rPr>
        <w:tab/>
      </w:r>
      <w:r w:rsidR="00010062" w:rsidRPr="006B6339">
        <w:rPr>
          <w:rFonts w:cs="Arial"/>
          <w:szCs w:val="24"/>
        </w:rPr>
        <w:t>Security</w:t>
      </w:r>
      <w:r w:rsidRPr="006B6339">
        <w:rPr>
          <w:rFonts w:cs="Arial"/>
          <w:szCs w:val="24"/>
        </w:rPr>
        <w:t xml:space="preserve"> of capital and </w:t>
      </w:r>
    </w:p>
    <w:p w:rsidR="00735017" w:rsidRPr="006B6339" w:rsidRDefault="00735017" w:rsidP="00735017">
      <w:pPr>
        <w:spacing w:before="45" w:after="45"/>
        <w:jc w:val="both"/>
        <w:rPr>
          <w:rFonts w:cs="Arial"/>
          <w:szCs w:val="24"/>
        </w:rPr>
      </w:pPr>
      <w:r w:rsidRPr="006B6339">
        <w:rPr>
          <w:rFonts w:cs="Arial"/>
          <w:szCs w:val="24"/>
        </w:rPr>
        <w:t>(b)</w:t>
      </w:r>
      <w:r w:rsidR="008E0E40" w:rsidRPr="006B6339">
        <w:rPr>
          <w:rFonts w:cs="Arial"/>
          <w:szCs w:val="24"/>
        </w:rPr>
        <w:tab/>
      </w:r>
      <w:r w:rsidR="00010062" w:rsidRPr="006B6339">
        <w:rPr>
          <w:rFonts w:cs="Arial"/>
          <w:szCs w:val="24"/>
        </w:rPr>
        <w:t>Liquidity</w:t>
      </w:r>
      <w:r w:rsidRPr="006B6339">
        <w:rPr>
          <w:rFonts w:cs="Arial"/>
          <w:szCs w:val="24"/>
        </w:rPr>
        <w:t xml:space="preserve"> of its investments. </w:t>
      </w:r>
    </w:p>
    <w:p w:rsidR="00735017" w:rsidRPr="006B6339" w:rsidRDefault="00735017" w:rsidP="00735017">
      <w:pPr>
        <w:jc w:val="both"/>
        <w:rPr>
          <w:rFonts w:cs="Arial"/>
          <w:szCs w:val="24"/>
        </w:rPr>
      </w:pPr>
    </w:p>
    <w:p w:rsidR="00735017" w:rsidRPr="006B6339" w:rsidRDefault="00735017" w:rsidP="00735017">
      <w:pPr>
        <w:jc w:val="both"/>
        <w:rPr>
          <w:szCs w:val="24"/>
          <w:lang w:eastAsia="en-US"/>
        </w:rPr>
      </w:pPr>
      <w:r w:rsidRPr="006B6339">
        <w:rPr>
          <w:rFonts w:cs="Arial"/>
          <w:szCs w:val="24"/>
        </w:rPr>
        <w:t xml:space="preserve">The Council also aimed to achieve the optimum return on its investments commensurate with proper levels of security and liquidity. The risk appetite of the </w:t>
      </w:r>
      <w:r w:rsidR="00F66A7E" w:rsidRPr="006B6339">
        <w:rPr>
          <w:rFonts w:cs="Arial"/>
          <w:szCs w:val="24"/>
        </w:rPr>
        <w:t xml:space="preserve">Council </w:t>
      </w:r>
      <w:r w:rsidRPr="006B6339">
        <w:rPr>
          <w:rFonts w:cs="Arial"/>
          <w:szCs w:val="24"/>
        </w:rPr>
        <w:t xml:space="preserve">is low in order to give priority to security of its investments.  </w:t>
      </w:r>
    </w:p>
    <w:p w:rsidR="00735017" w:rsidRPr="006B6339" w:rsidRDefault="00735017" w:rsidP="00735017">
      <w:pPr>
        <w:jc w:val="both"/>
        <w:rPr>
          <w:szCs w:val="24"/>
          <w:lang w:eastAsia="en-US"/>
        </w:rPr>
      </w:pPr>
    </w:p>
    <w:p w:rsidR="00735017" w:rsidRPr="006B6339" w:rsidRDefault="00735017" w:rsidP="00735017">
      <w:pPr>
        <w:jc w:val="both"/>
        <w:rPr>
          <w:szCs w:val="24"/>
          <w:lang w:eastAsia="en-US"/>
        </w:rPr>
      </w:pPr>
      <w:r w:rsidRPr="006B6339">
        <w:rPr>
          <w:szCs w:val="24"/>
          <w:lang w:eastAsia="en-US"/>
        </w:rPr>
        <w:t xml:space="preserve">The Council’s stated borrowing strategy was to take advantage of historically low short term interest rates by borrowing short term in the money markets rather than financing capital expenditure through long term </w:t>
      </w:r>
      <w:r w:rsidRPr="005455A5">
        <w:rPr>
          <w:szCs w:val="24"/>
          <w:lang w:eastAsia="en-US"/>
        </w:rPr>
        <w:t>P</w:t>
      </w:r>
      <w:r w:rsidR="002E1EA5" w:rsidRPr="005455A5">
        <w:rPr>
          <w:szCs w:val="24"/>
          <w:lang w:eastAsia="en-US"/>
        </w:rPr>
        <w:t xml:space="preserve">ublic </w:t>
      </w:r>
      <w:r w:rsidRPr="005455A5">
        <w:rPr>
          <w:szCs w:val="24"/>
          <w:lang w:eastAsia="en-US"/>
        </w:rPr>
        <w:t>W</w:t>
      </w:r>
      <w:r w:rsidR="002E1EA5" w:rsidRPr="005455A5">
        <w:rPr>
          <w:szCs w:val="24"/>
          <w:lang w:eastAsia="en-US"/>
        </w:rPr>
        <w:t xml:space="preserve">orks </w:t>
      </w:r>
      <w:r w:rsidRPr="005455A5">
        <w:rPr>
          <w:szCs w:val="24"/>
          <w:lang w:eastAsia="en-US"/>
        </w:rPr>
        <w:t>L</w:t>
      </w:r>
      <w:r w:rsidR="002E1EA5" w:rsidRPr="005455A5">
        <w:rPr>
          <w:szCs w:val="24"/>
          <w:lang w:eastAsia="en-US"/>
        </w:rPr>
        <w:t xml:space="preserve">oan </w:t>
      </w:r>
      <w:r w:rsidRPr="005455A5">
        <w:rPr>
          <w:szCs w:val="24"/>
          <w:lang w:eastAsia="en-US"/>
        </w:rPr>
        <w:t>B</w:t>
      </w:r>
      <w:r w:rsidR="002E1EA5" w:rsidRPr="005455A5">
        <w:rPr>
          <w:szCs w:val="24"/>
          <w:lang w:eastAsia="en-US"/>
        </w:rPr>
        <w:t>oard (PWLB)</w:t>
      </w:r>
      <w:r w:rsidRPr="00B8395C">
        <w:rPr>
          <w:color w:val="FF0000"/>
          <w:szCs w:val="24"/>
          <w:lang w:eastAsia="en-US"/>
        </w:rPr>
        <w:t xml:space="preserve"> </w:t>
      </w:r>
      <w:r w:rsidRPr="006B6339">
        <w:rPr>
          <w:szCs w:val="24"/>
          <w:lang w:eastAsia="en-US"/>
        </w:rPr>
        <w:t>loans.</w:t>
      </w:r>
    </w:p>
    <w:p w:rsidR="00735017" w:rsidRPr="006B6339" w:rsidRDefault="00735017" w:rsidP="00735017">
      <w:pPr>
        <w:jc w:val="both"/>
        <w:rPr>
          <w:szCs w:val="24"/>
        </w:rPr>
      </w:pPr>
    </w:p>
    <w:p w:rsidR="00735017" w:rsidRPr="006B6339" w:rsidRDefault="00735017" w:rsidP="00735017">
      <w:pPr>
        <w:jc w:val="both"/>
        <w:rPr>
          <w:szCs w:val="24"/>
        </w:rPr>
      </w:pPr>
      <w:r w:rsidRPr="006B6339">
        <w:rPr>
          <w:szCs w:val="24"/>
        </w:rPr>
        <w:t xml:space="preserve">The </w:t>
      </w:r>
      <w:r w:rsidR="00463E94" w:rsidRPr="006B6339">
        <w:rPr>
          <w:szCs w:val="24"/>
        </w:rPr>
        <w:t xml:space="preserve">County </w:t>
      </w:r>
      <w:r w:rsidRPr="006B6339">
        <w:rPr>
          <w:szCs w:val="24"/>
        </w:rPr>
        <w:t xml:space="preserve">Treasurer </w:t>
      </w:r>
      <w:r w:rsidR="00463E94" w:rsidRPr="006B6339">
        <w:rPr>
          <w:szCs w:val="24"/>
        </w:rPr>
        <w:t xml:space="preserve">can </w:t>
      </w:r>
      <w:r w:rsidRPr="006B6339">
        <w:rPr>
          <w:szCs w:val="24"/>
        </w:rPr>
        <w:t xml:space="preserve">report that all treasury management activity undertaken during the financial year complied with the </w:t>
      </w:r>
      <w:r w:rsidRPr="006B6339">
        <w:rPr>
          <w:i/>
          <w:szCs w:val="24"/>
        </w:rPr>
        <w:t>CIPFA Code of Practice</w:t>
      </w:r>
      <w:r w:rsidRPr="006B6339">
        <w:rPr>
          <w:szCs w:val="24"/>
        </w:rPr>
        <w:t xml:space="preserve"> and the relevant legislative provisions.  </w:t>
      </w:r>
    </w:p>
    <w:p w:rsidR="005455A5" w:rsidRDefault="005455A5" w:rsidP="006A3150">
      <w:pPr>
        <w:rPr>
          <w:b/>
          <w:highlight w:val="yellow"/>
        </w:rPr>
      </w:pPr>
    </w:p>
    <w:p w:rsidR="00E362C7" w:rsidRPr="006A3150" w:rsidRDefault="00DC5123" w:rsidP="006A3150">
      <w:pPr>
        <w:rPr>
          <w:b/>
        </w:rPr>
      </w:pPr>
      <w:bookmarkStart w:id="0" w:name="_GoBack"/>
      <w:bookmarkEnd w:id="0"/>
      <w:r w:rsidRPr="005455A5">
        <w:rPr>
          <w:highlight w:val="yellow"/>
        </w:rPr>
        <w:br w:type="page"/>
      </w:r>
      <w:r w:rsidR="000F1A22">
        <w:rPr>
          <w:b/>
        </w:rPr>
        <w:t>4.</w:t>
      </w:r>
      <w:r w:rsidR="000F1A22" w:rsidRPr="006A3150">
        <w:rPr>
          <w:b/>
        </w:rPr>
        <w:t xml:space="preserve"> Treasury</w:t>
      </w:r>
      <w:r w:rsidR="00E362C7" w:rsidRPr="006A3150">
        <w:rPr>
          <w:b/>
        </w:rPr>
        <w:t xml:space="preserve"> Management Activities in </w:t>
      </w:r>
      <w:r w:rsidR="009D1168" w:rsidRPr="006A3150">
        <w:rPr>
          <w:b/>
        </w:rPr>
        <w:t>201</w:t>
      </w:r>
      <w:r w:rsidR="00714805" w:rsidRPr="006A3150">
        <w:rPr>
          <w:b/>
        </w:rPr>
        <w:t>3/14</w:t>
      </w:r>
    </w:p>
    <w:p w:rsidR="00E362C7" w:rsidRPr="00382002" w:rsidRDefault="00E362C7" w:rsidP="00E362C7">
      <w:pPr>
        <w:rPr>
          <w:b/>
          <w:highlight w:val="yellow"/>
        </w:rPr>
      </w:pPr>
    </w:p>
    <w:p w:rsidR="00E362C7" w:rsidRPr="002339EF" w:rsidRDefault="00E362C7" w:rsidP="00E362C7">
      <w:pPr>
        <w:rPr>
          <w:b/>
        </w:rPr>
      </w:pPr>
      <w:r w:rsidRPr="002339EF">
        <w:rPr>
          <w:b/>
        </w:rPr>
        <w:t xml:space="preserve">Borrowing Activity </w:t>
      </w:r>
      <w:r w:rsidR="00D5428D" w:rsidRPr="002339EF">
        <w:rPr>
          <w:b/>
        </w:rPr>
        <w:t>201</w:t>
      </w:r>
      <w:r w:rsidR="00714805" w:rsidRPr="002339EF">
        <w:rPr>
          <w:b/>
        </w:rPr>
        <w:t>3/14</w:t>
      </w:r>
    </w:p>
    <w:p w:rsidR="00E362C7" w:rsidRPr="002339EF" w:rsidRDefault="00E362C7" w:rsidP="00E362C7">
      <w:pPr>
        <w:rPr>
          <w:b/>
        </w:rPr>
      </w:pPr>
    </w:p>
    <w:p w:rsidR="00E362C7" w:rsidRDefault="00E362C7" w:rsidP="00E362C7">
      <w:r w:rsidRPr="002339EF">
        <w:t xml:space="preserve">The </w:t>
      </w:r>
      <w:r w:rsidR="004F48AF" w:rsidRPr="002339EF">
        <w:t xml:space="preserve">revised </w:t>
      </w:r>
      <w:r w:rsidRPr="002339EF">
        <w:t>201</w:t>
      </w:r>
      <w:r w:rsidR="00D85271" w:rsidRPr="002339EF">
        <w:t xml:space="preserve">3/14 </w:t>
      </w:r>
      <w:r w:rsidRPr="002339EF">
        <w:t xml:space="preserve">borrowing requirement </w:t>
      </w:r>
      <w:r w:rsidR="0020099D" w:rsidRPr="002339EF">
        <w:t>was estimated at</w:t>
      </w:r>
      <w:r w:rsidRPr="002339EF">
        <w:t xml:space="preserve"> £</w:t>
      </w:r>
      <w:r w:rsidR="002339EF" w:rsidRPr="002339EF">
        <w:t>227.339m</w:t>
      </w:r>
      <w:r w:rsidRPr="002339EF">
        <w:t xml:space="preserve"> after taking into account the </w:t>
      </w:r>
      <w:r w:rsidR="004F48AF" w:rsidRPr="002339EF">
        <w:t>updated capital programme and the refinancing of existing borrowing</w:t>
      </w:r>
      <w:r w:rsidR="00463E94" w:rsidRPr="002339EF">
        <w:t>, including short term borrowing taken to meet the Capital Financing Requirement</w:t>
      </w:r>
      <w:r w:rsidR="004F48AF" w:rsidRPr="002339EF">
        <w:t xml:space="preserve">. The table below shows the </w:t>
      </w:r>
      <w:r w:rsidR="004262F6" w:rsidRPr="002339EF">
        <w:t>201</w:t>
      </w:r>
      <w:r w:rsidR="00D85271" w:rsidRPr="002339EF">
        <w:t xml:space="preserve">3/14 </w:t>
      </w:r>
      <w:r w:rsidR="004F48AF" w:rsidRPr="002339EF">
        <w:t xml:space="preserve">revised borrowing requirement as </w:t>
      </w:r>
      <w:r w:rsidR="004262F6" w:rsidRPr="002339EF">
        <w:t>agreed within the</w:t>
      </w:r>
      <w:r w:rsidR="004F48AF" w:rsidRPr="002339EF">
        <w:t xml:space="preserve"> 201</w:t>
      </w:r>
      <w:r w:rsidR="00D85271" w:rsidRPr="002339EF">
        <w:t xml:space="preserve">4/15 </w:t>
      </w:r>
      <w:r w:rsidR="004F48AF" w:rsidRPr="002339EF">
        <w:t xml:space="preserve">treasury management strategy </w:t>
      </w:r>
      <w:r w:rsidR="004262F6" w:rsidRPr="002339EF">
        <w:t xml:space="preserve">report, </w:t>
      </w:r>
      <w:r w:rsidR="004F48AF" w:rsidRPr="002339EF">
        <w:t>along with the actual position as at 31</w:t>
      </w:r>
      <w:r w:rsidR="004F48AF" w:rsidRPr="002339EF">
        <w:rPr>
          <w:vertAlign w:val="superscript"/>
        </w:rPr>
        <w:t>st</w:t>
      </w:r>
      <w:r w:rsidR="004F48AF" w:rsidRPr="002339EF">
        <w:t xml:space="preserve"> March 201</w:t>
      </w:r>
      <w:r w:rsidR="00D85271" w:rsidRPr="002339EF">
        <w:t>4</w:t>
      </w:r>
      <w:r w:rsidRPr="002339EF">
        <w:t xml:space="preserve">. </w:t>
      </w:r>
    </w:p>
    <w:p w:rsidR="00DC5123" w:rsidRPr="002339EF" w:rsidRDefault="00DC5123" w:rsidP="00E362C7"/>
    <w:p w:rsidR="004F48AF" w:rsidRPr="00D20CA5" w:rsidRDefault="004F48AF" w:rsidP="00E362C7">
      <w:pPr>
        <w:rPr>
          <w:highlight w:val="cyan"/>
        </w:rPr>
      </w:pPr>
    </w:p>
    <w:tbl>
      <w:tblPr>
        <w:tblW w:w="75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224"/>
        <w:gridCol w:w="1224"/>
        <w:gridCol w:w="1336"/>
      </w:tblGrid>
      <w:tr w:rsidR="004F48AF" w:rsidRPr="00DC5123" w:rsidTr="00DC5123">
        <w:tc>
          <w:tcPr>
            <w:tcW w:w="3780" w:type="dxa"/>
          </w:tcPr>
          <w:p w:rsidR="004F48AF" w:rsidRPr="00DC5123" w:rsidRDefault="004F48AF" w:rsidP="004262F6">
            <w:pPr>
              <w:rPr>
                <w:rFonts w:cs="Arial"/>
                <w:sz w:val="20"/>
                <w:highlight w:val="yellow"/>
              </w:rPr>
            </w:pPr>
          </w:p>
        </w:tc>
        <w:tc>
          <w:tcPr>
            <w:tcW w:w="1224" w:type="dxa"/>
          </w:tcPr>
          <w:p w:rsidR="004F48AF" w:rsidRPr="00DC5123" w:rsidRDefault="004F48AF" w:rsidP="00E1144F">
            <w:pPr>
              <w:jc w:val="right"/>
              <w:rPr>
                <w:rFonts w:cs="Arial"/>
                <w:b/>
                <w:bCs/>
                <w:sz w:val="20"/>
              </w:rPr>
            </w:pPr>
            <w:r w:rsidRPr="00DC5123">
              <w:rPr>
                <w:rFonts w:cs="Arial"/>
                <w:b/>
                <w:bCs/>
                <w:sz w:val="20"/>
              </w:rPr>
              <w:t>201</w:t>
            </w:r>
            <w:r w:rsidR="00F50691" w:rsidRPr="00DC5123">
              <w:rPr>
                <w:rFonts w:cs="Arial"/>
                <w:b/>
                <w:bCs/>
                <w:sz w:val="20"/>
              </w:rPr>
              <w:t>3/14</w:t>
            </w:r>
            <w:r w:rsidRPr="00DC5123">
              <w:rPr>
                <w:rFonts w:cs="Arial"/>
                <w:b/>
                <w:bCs/>
                <w:sz w:val="20"/>
              </w:rPr>
              <w:t xml:space="preserve"> Revised</w:t>
            </w:r>
          </w:p>
        </w:tc>
        <w:tc>
          <w:tcPr>
            <w:tcW w:w="1224" w:type="dxa"/>
            <w:vAlign w:val="center"/>
          </w:tcPr>
          <w:p w:rsidR="00E1144F" w:rsidRPr="00DC5123" w:rsidRDefault="004F48AF" w:rsidP="00E1144F">
            <w:pPr>
              <w:jc w:val="right"/>
              <w:rPr>
                <w:rFonts w:cs="Arial"/>
                <w:b/>
                <w:bCs/>
                <w:sz w:val="20"/>
              </w:rPr>
            </w:pPr>
            <w:r w:rsidRPr="00DC5123">
              <w:rPr>
                <w:rFonts w:cs="Arial"/>
                <w:b/>
                <w:bCs/>
                <w:sz w:val="20"/>
              </w:rPr>
              <w:t>201</w:t>
            </w:r>
            <w:r w:rsidR="00F50691" w:rsidRPr="00DC5123">
              <w:rPr>
                <w:rFonts w:cs="Arial"/>
                <w:b/>
                <w:bCs/>
                <w:sz w:val="20"/>
              </w:rPr>
              <w:t>3/14</w:t>
            </w:r>
          </w:p>
          <w:p w:rsidR="004F48AF" w:rsidRPr="00DC5123" w:rsidRDefault="00E1144F" w:rsidP="00E1144F">
            <w:pPr>
              <w:jc w:val="right"/>
              <w:rPr>
                <w:rFonts w:cs="Arial"/>
                <w:b/>
                <w:bCs/>
                <w:sz w:val="20"/>
              </w:rPr>
            </w:pPr>
            <w:r w:rsidRPr="00DC5123">
              <w:rPr>
                <w:rFonts w:cs="Arial"/>
                <w:b/>
                <w:bCs/>
                <w:sz w:val="20"/>
              </w:rPr>
              <w:t>A</w:t>
            </w:r>
            <w:r w:rsidR="004F48AF" w:rsidRPr="00DC5123">
              <w:rPr>
                <w:rFonts w:cs="Arial"/>
                <w:b/>
                <w:bCs/>
                <w:sz w:val="20"/>
              </w:rPr>
              <w:t>ctual</w:t>
            </w:r>
          </w:p>
        </w:tc>
        <w:tc>
          <w:tcPr>
            <w:tcW w:w="1336" w:type="dxa"/>
            <w:vAlign w:val="center"/>
          </w:tcPr>
          <w:p w:rsidR="004F48AF" w:rsidRPr="00DC5123" w:rsidRDefault="004F48AF" w:rsidP="00E1144F">
            <w:pPr>
              <w:jc w:val="right"/>
              <w:rPr>
                <w:rFonts w:cs="Arial"/>
                <w:b/>
                <w:bCs/>
                <w:sz w:val="20"/>
              </w:rPr>
            </w:pPr>
            <w:r w:rsidRPr="00DC5123">
              <w:rPr>
                <w:rFonts w:cs="Arial"/>
                <w:b/>
                <w:bCs/>
                <w:sz w:val="20"/>
              </w:rPr>
              <w:t>201</w:t>
            </w:r>
            <w:r w:rsidR="00E1144F" w:rsidRPr="00DC5123">
              <w:rPr>
                <w:rFonts w:cs="Arial"/>
                <w:b/>
                <w:bCs/>
                <w:sz w:val="20"/>
              </w:rPr>
              <w:t>4</w:t>
            </w:r>
            <w:r w:rsidR="00F50691" w:rsidRPr="00DC5123">
              <w:rPr>
                <w:rFonts w:cs="Arial"/>
                <w:b/>
                <w:bCs/>
                <w:sz w:val="20"/>
              </w:rPr>
              <w:t>/15</w:t>
            </w:r>
            <w:r w:rsidRPr="00DC5123">
              <w:rPr>
                <w:rFonts w:cs="Arial"/>
                <w:b/>
                <w:bCs/>
                <w:sz w:val="20"/>
              </w:rPr>
              <w:t xml:space="preserve"> Estimate</w:t>
            </w:r>
          </w:p>
        </w:tc>
      </w:tr>
      <w:tr w:rsidR="004F48AF" w:rsidRPr="00D20CA5" w:rsidTr="00DC5123">
        <w:tc>
          <w:tcPr>
            <w:tcW w:w="3780" w:type="dxa"/>
          </w:tcPr>
          <w:p w:rsidR="004F48AF" w:rsidRPr="00DC5123" w:rsidRDefault="004F48AF" w:rsidP="004262F6">
            <w:pPr>
              <w:spacing w:after="120"/>
              <w:rPr>
                <w:rFonts w:cs="Arial"/>
                <w:sz w:val="20"/>
                <w:highlight w:val="yellow"/>
              </w:rPr>
            </w:pPr>
          </w:p>
        </w:tc>
        <w:tc>
          <w:tcPr>
            <w:tcW w:w="1224" w:type="dxa"/>
          </w:tcPr>
          <w:p w:rsidR="004F48AF" w:rsidRPr="00DC5123" w:rsidRDefault="004F48AF" w:rsidP="004262F6">
            <w:pPr>
              <w:spacing w:after="120"/>
              <w:jc w:val="center"/>
              <w:rPr>
                <w:rFonts w:cs="Arial"/>
                <w:b/>
                <w:bCs/>
                <w:sz w:val="20"/>
              </w:rPr>
            </w:pPr>
            <w:r w:rsidRPr="00DC5123">
              <w:rPr>
                <w:rFonts w:cs="Arial"/>
                <w:b/>
                <w:bCs/>
                <w:sz w:val="20"/>
              </w:rPr>
              <w:t xml:space="preserve">   £m</w:t>
            </w:r>
          </w:p>
        </w:tc>
        <w:tc>
          <w:tcPr>
            <w:tcW w:w="1224" w:type="dxa"/>
          </w:tcPr>
          <w:p w:rsidR="004F48AF" w:rsidRPr="00DC5123" w:rsidRDefault="004F48AF" w:rsidP="004262F6">
            <w:pPr>
              <w:spacing w:after="120"/>
              <w:jc w:val="center"/>
              <w:rPr>
                <w:rFonts w:cs="Arial"/>
                <w:b/>
                <w:bCs/>
                <w:sz w:val="20"/>
              </w:rPr>
            </w:pPr>
            <w:r w:rsidRPr="00DC5123">
              <w:rPr>
                <w:rFonts w:cs="Arial"/>
                <w:b/>
                <w:bCs/>
                <w:sz w:val="20"/>
              </w:rPr>
              <w:t xml:space="preserve">   £m</w:t>
            </w:r>
          </w:p>
        </w:tc>
        <w:tc>
          <w:tcPr>
            <w:tcW w:w="1336" w:type="dxa"/>
          </w:tcPr>
          <w:p w:rsidR="004F48AF" w:rsidRPr="00DC5123" w:rsidRDefault="002A720F" w:rsidP="004262F6">
            <w:pPr>
              <w:spacing w:after="120"/>
              <w:jc w:val="center"/>
              <w:rPr>
                <w:rFonts w:cs="Arial"/>
                <w:b/>
                <w:bCs/>
                <w:sz w:val="20"/>
              </w:rPr>
            </w:pPr>
            <w:r w:rsidRPr="00DC5123">
              <w:rPr>
                <w:rFonts w:cs="Arial"/>
                <w:b/>
                <w:bCs/>
                <w:sz w:val="20"/>
              </w:rPr>
              <w:t xml:space="preserve"> </w:t>
            </w:r>
            <w:r w:rsidR="004F48AF" w:rsidRPr="00DC5123">
              <w:rPr>
                <w:rFonts w:cs="Arial"/>
                <w:b/>
                <w:bCs/>
                <w:sz w:val="20"/>
              </w:rPr>
              <w:t xml:space="preserve">  £m</w:t>
            </w:r>
          </w:p>
        </w:tc>
      </w:tr>
      <w:tr w:rsidR="004F48AF" w:rsidRPr="00D20CA5" w:rsidTr="00DC5123">
        <w:tc>
          <w:tcPr>
            <w:tcW w:w="3780" w:type="dxa"/>
          </w:tcPr>
          <w:p w:rsidR="004F48AF" w:rsidRPr="00DC5123" w:rsidRDefault="004F48AF" w:rsidP="004262F6">
            <w:pPr>
              <w:spacing w:after="240"/>
              <w:rPr>
                <w:rFonts w:cs="Arial"/>
                <w:b/>
                <w:sz w:val="20"/>
              </w:rPr>
            </w:pPr>
            <w:r w:rsidRPr="00DC5123">
              <w:rPr>
                <w:rFonts w:cs="Arial"/>
                <w:b/>
                <w:sz w:val="20"/>
              </w:rPr>
              <w:t>Capital Programme Expenditure</w:t>
            </w:r>
          </w:p>
        </w:tc>
        <w:tc>
          <w:tcPr>
            <w:tcW w:w="1224" w:type="dxa"/>
          </w:tcPr>
          <w:p w:rsidR="004F48AF" w:rsidRPr="00DC5123" w:rsidRDefault="00CD304A" w:rsidP="004262F6">
            <w:pPr>
              <w:jc w:val="right"/>
              <w:rPr>
                <w:rFonts w:cs="Arial"/>
                <w:b/>
                <w:sz w:val="20"/>
              </w:rPr>
            </w:pPr>
            <w:r w:rsidRPr="00DC5123">
              <w:rPr>
                <w:rFonts w:cs="Arial"/>
                <w:b/>
                <w:sz w:val="20"/>
              </w:rPr>
              <w:t>163.657</w:t>
            </w:r>
          </w:p>
        </w:tc>
        <w:tc>
          <w:tcPr>
            <w:tcW w:w="1224" w:type="dxa"/>
          </w:tcPr>
          <w:p w:rsidR="004F48AF" w:rsidRPr="00DC5123" w:rsidRDefault="0057412C" w:rsidP="004262F6">
            <w:pPr>
              <w:jc w:val="right"/>
              <w:rPr>
                <w:rFonts w:cs="Arial"/>
                <w:b/>
                <w:sz w:val="20"/>
              </w:rPr>
            </w:pPr>
            <w:r w:rsidRPr="00DC5123">
              <w:rPr>
                <w:rFonts w:cs="Arial"/>
                <w:b/>
                <w:sz w:val="20"/>
              </w:rPr>
              <w:t>154.476</w:t>
            </w:r>
          </w:p>
        </w:tc>
        <w:tc>
          <w:tcPr>
            <w:tcW w:w="1336" w:type="dxa"/>
          </w:tcPr>
          <w:p w:rsidR="004F48AF" w:rsidRPr="00DC5123" w:rsidRDefault="00CD304A" w:rsidP="002A720F">
            <w:pPr>
              <w:jc w:val="right"/>
              <w:rPr>
                <w:rFonts w:cs="Arial"/>
                <w:b/>
                <w:sz w:val="20"/>
              </w:rPr>
            </w:pPr>
            <w:r w:rsidRPr="00DC5123">
              <w:rPr>
                <w:rFonts w:cs="Arial"/>
                <w:b/>
                <w:sz w:val="20"/>
              </w:rPr>
              <w:t>204.733</w:t>
            </w:r>
          </w:p>
        </w:tc>
      </w:tr>
      <w:tr w:rsidR="004F48AF" w:rsidRPr="00D20CA5" w:rsidTr="00DC5123">
        <w:trPr>
          <w:trHeight w:val="1076"/>
        </w:trPr>
        <w:tc>
          <w:tcPr>
            <w:tcW w:w="3780" w:type="dxa"/>
          </w:tcPr>
          <w:p w:rsidR="004F48AF" w:rsidRPr="001E643C" w:rsidRDefault="004F48AF" w:rsidP="004262F6">
            <w:pPr>
              <w:spacing w:after="240"/>
              <w:rPr>
                <w:rFonts w:cs="Arial"/>
                <w:b/>
                <w:i/>
                <w:sz w:val="20"/>
              </w:rPr>
            </w:pPr>
            <w:r w:rsidRPr="001E643C">
              <w:rPr>
                <w:rFonts w:cs="Arial"/>
                <w:b/>
                <w:i/>
                <w:sz w:val="20"/>
              </w:rPr>
              <w:t>Financed by:</w:t>
            </w:r>
          </w:p>
          <w:p w:rsidR="004F48AF" w:rsidRPr="00DC5123" w:rsidRDefault="004F48AF" w:rsidP="004262F6">
            <w:pPr>
              <w:spacing w:after="240"/>
              <w:rPr>
                <w:rFonts w:cs="Arial"/>
                <w:sz w:val="20"/>
              </w:rPr>
            </w:pPr>
            <w:r w:rsidRPr="00DC5123">
              <w:rPr>
                <w:rFonts w:cs="Arial"/>
                <w:sz w:val="20"/>
              </w:rPr>
              <w:t>Capital Receipts</w:t>
            </w:r>
          </w:p>
        </w:tc>
        <w:tc>
          <w:tcPr>
            <w:tcW w:w="1224" w:type="dxa"/>
          </w:tcPr>
          <w:p w:rsidR="004F48AF" w:rsidRPr="00DC5123" w:rsidRDefault="004F48AF" w:rsidP="004262F6">
            <w:pPr>
              <w:jc w:val="right"/>
              <w:rPr>
                <w:rFonts w:cs="Arial"/>
                <w:sz w:val="20"/>
              </w:rPr>
            </w:pPr>
          </w:p>
          <w:p w:rsidR="004F48AF" w:rsidRPr="00DC5123" w:rsidRDefault="004F48AF" w:rsidP="004262F6">
            <w:pPr>
              <w:jc w:val="right"/>
              <w:rPr>
                <w:rFonts w:cs="Arial"/>
                <w:sz w:val="20"/>
              </w:rPr>
            </w:pPr>
          </w:p>
          <w:p w:rsidR="004F48AF" w:rsidRPr="00DC5123" w:rsidRDefault="00CD304A" w:rsidP="004262F6">
            <w:pPr>
              <w:jc w:val="right"/>
              <w:rPr>
                <w:rFonts w:cs="Arial"/>
                <w:sz w:val="20"/>
              </w:rPr>
            </w:pPr>
            <w:r w:rsidRPr="00DC5123">
              <w:rPr>
                <w:rFonts w:cs="Arial"/>
                <w:sz w:val="20"/>
              </w:rPr>
              <w:t>0.983</w:t>
            </w:r>
          </w:p>
        </w:tc>
        <w:tc>
          <w:tcPr>
            <w:tcW w:w="1224" w:type="dxa"/>
          </w:tcPr>
          <w:p w:rsidR="004F48AF" w:rsidRPr="00DC5123" w:rsidRDefault="004F48AF" w:rsidP="004262F6">
            <w:pPr>
              <w:jc w:val="right"/>
              <w:rPr>
                <w:rFonts w:cs="Arial"/>
                <w:sz w:val="20"/>
              </w:rPr>
            </w:pPr>
          </w:p>
          <w:p w:rsidR="004F48AF" w:rsidRPr="00DC5123" w:rsidRDefault="004F48AF" w:rsidP="004262F6">
            <w:pPr>
              <w:jc w:val="right"/>
              <w:rPr>
                <w:rFonts w:cs="Arial"/>
                <w:sz w:val="20"/>
              </w:rPr>
            </w:pPr>
          </w:p>
          <w:p w:rsidR="004F48AF" w:rsidRPr="00DC5123" w:rsidRDefault="00CB5745" w:rsidP="004262F6">
            <w:pPr>
              <w:jc w:val="right"/>
              <w:rPr>
                <w:rFonts w:cs="Arial"/>
                <w:sz w:val="20"/>
              </w:rPr>
            </w:pPr>
            <w:r w:rsidRPr="00DC5123">
              <w:rPr>
                <w:rFonts w:cs="Arial"/>
                <w:sz w:val="20"/>
              </w:rPr>
              <w:t>0</w:t>
            </w:r>
          </w:p>
        </w:tc>
        <w:tc>
          <w:tcPr>
            <w:tcW w:w="1336" w:type="dxa"/>
          </w:tcPr>
          <w:p w:rsidR="004F48AF" w:rsidRPr="00DC5123" w:rsidRDefault="004F48AF" w:rsidP="002A720F">
            <w:pPr>
              <w:jc w:val="right"/>
              <w:rPr>
                <w:rFonts w:cs="Arial"/>
                <w:sz w:val="20"/>
              </w:rPr>
            </w:pPr>
          </w:p>
          <w:p w:rsidR="004F48AF" w:rsidRPr="00DC5123" w:rsidRDefault="004F48AF" w:rsidP="002A720F">
            <w:pPr>
              <w:jc w:val="right"/>
              <w:rPr>
                <w:rFonts w:cs="Arial"/>
                <w:sz w:val="20"/>
              </w:rPr>
            </w:pPr>
          </w:p>
          <w:p w:rsidR="00CD304A" w:rsidRPr="00DC5123" w:rsidRDefault="00CD304A" w:rsidP="00B93247">
            <w:pPr>
              <w:jc w:val="right"/>
              <w:rPr>
                <w:rFonts w:cs="Arial"/>
                <w:sz w:val="20"/>
              </w:rPr>
            </w:pPr>
            <w:r w:rsidRPr="00DC5123">
              <w:rPr>
                <w:rFonts w:cs="Arial"/>
                <w:sz w:val="20"/>
              </w:rPr>
              <w:t>0</w:t>
            </w:r>
          </w:p>
        </w:tc>
      </w:tr>
      <w:tr w:rsidR="004F48AF" w:rsidRPr="00D20CA5" w:rsidTr="00DC5123">
        <w:tc>
          <w:tcPr>
            <w:tcW w:w="3780" w:type="dxa"/>
          </w:tcPr>
          <w:p w:rsidR="004F48AF" w:rsidRPr="00DC5123" w:rsidRDefault="004F48AF" w:rsidP="004262F6">
            <w:pPr>
              <w:spacing w:after="240"/>
              <w:rPr>
                <w:rFonts w:cs="Arial"/>
                <w:sz w:val="20"/>
              </w:rPr>
            </w:pPr>
            <w:r w:rsidRPr="00DC5123">
              <w:rPr>
                <w:rFonts w:cs="Arial"/>
                <w:sz w:val="20"/>
              </w:rPr>
              <w:lastRenderedPageBreak/>
              <w:t>Grants and Contributions</w:t>
            </w:r>
          </w:p>
        </w:tc>
        <w:tc>
          <w:tcPr>
            <w:tcW w:w="1224" w:type="dxa"/>
          </w:tcPr>
          <w:p w:rsidR="004F48AF" w:rsidRPr="00DC5123" w:rsidRDefault="00CD304A" w:rsidP="004262F6">
            <w:pPr>
              <w:jc w:val="right"/>
              <w:rPr>
                <w:rFonts w:cs="Arial"/>
                <w:sz w:val="20"/>
              </w:rPr>
            </w:pPr>
            <w:r w:rsidRPr="00DC5123">
              <w:rPr>
                <w:rFonts w:cs="Arial"/>
                <w:sz w:val="20"/>
              </w:rPr>
              <w:t>147.437</w:t>
            </w:r>
          </w:p>
        </w:tc>
        <w:tc>
          <w:tcPr>
            <w:tcW w:w="1224" w:type="dxa"/>
          </w:tcPr>
          <w:p w:rsidR="004F48AF" w:rsidRPr="00DC5123" w:rsidRDefault="002339EF" w:rsidP="000A4614">
            <w:pPr>
              <w:jc w:val="right"/>
              <w:rPr>
                <w:rFonts w:cs="Arial"/>
                <w:sz w:val="20"/>
              </w:rPr>
            </w:pPr>
            <w:r w:rsidRPr="00DC5123">
              <w:rPr>
                <w:rFonts w:cs="Arial"/>
                <w:sz w:val="20"/>
              </w:rPr>
              <w:t>138.086</w:t>
            </w:r>
          </w:p>
        </w:tc>
        <w:tc>
          <w:tcPr>
            <w:tcW w:w="1336" w:type="dxa"/>
          </w:tcPr>
          <w:p w:rsidR="004F48AF" w:rsidRPr="00DC5123" w:rsidRDefault="00B93247" w:rsidP="002A720F">
            <w:pPr>
              <w:jc w:val="right"/>
              <w:rPr>
                <w:rFonts w:cs="Arial"/>
                <w:sz w:val="20"/>
              </w:rPr>
            </w:pPr>
            <w:r w:rsidRPr="00DC5123">
              <w:rPr>
                <w:rFonts w:cs="Arial"/>
                <w:sz w:val="20"/>
              </w:rPr>
              <w:t>146.850</w:t>
            </w:r>
          </w:p>
        </w:tc>
      </w:tr>
      <w:tr w:rsidR="004F48AF" w:rsidRPr="00D20CA5" w:rsidTr="00DC5123">
        <w:tc>
          <w:tcPr>
            <w:tcW w:w="3780" w:type="dxa"/>
          </w:tcPr>
          <w:p w:rsidR="004F48AF" w:rsidRPr="00DC5123" w:rsidRDefault="004F48AF" w:rsidP="004262F6">
            <w:pPr>
              <w:spacing w:after="240"/>
              <w:rPr>
                <w:rFonts w:cs="Arial"/>
                <w:sz w:val="20"/>
              </w:rPr>
            </w:pPr>
            <w:r w:rsidRPr="00DC5123">
              <w:rPr>
                <w:rFonts w:cs="Arial"/>
                <w:sz w:val="20"/>
              </w:rPr>
              <w:t>Revenue Contributions</w:t>
            </w:r>
          </w:p>
        </w:tc>
        <w:tc>
          <w:tcPr>
            <w:tcW w:w="1224" w:type="dxa"/>
          </w:tcPr>
          <w:p w:rsidR="004F48AF" w:rsidRPr="00DC5123" w:rsidRDefault="00CD304A" w:rsidP="004262F6">
            <w:pPr>
              <w:jc w:val="right"/>
              <w:rPr>
                <w:rFonts w:cs="Arial"/>
                <w:sz w:val="20"/>
              </w:rPr>
            </w:pPr>
            <w:r w:rsidRPr="00DC5123">
              <w:rPr>
                <w:rFonts w:cs="Arial"/>
                <w:sz w:val="20"/>
              </w:rPr>
              <w:t>13.337</w:t>
            </w:r>
          </w:p>
        </w:tc>
        <w:tc>
          <w:tcPr>
            <w:tcW w:w="1224" w:type="dxa"/>
          </w:tcPr>
          <w:p w:rsidR="004F48AF" w:rsidRPr="00DC5123" w:rsidRDefault="002339EF" w:rsidP="004262F6">
            <w:pPr>
              <w:jc w:val="right"/>
              <w:rPr>
                <w:rFonts w:cs="Arial"/>
                <w:sz w:val="20"/>
              </w:rPr>
            </w:pPr>
            <w:r w:rsidRPr="00DC5123">
              <w:rPr>
                <w:rFonts w:cs="Arial"/>
                <w:sz w:val="20"/>
              </w:rPr>
              <w:t>16.390</w:t>
            </w:r>
          </w:p>
        </w:tc>
        <w:tc>
          <w:tcPr>
            <w:tcW w:w="1336" w:type="dxa"/>
          </w:tcPr>
          <w:p w:rsidR="004F48AF" w:rsidRPr="00DC5123" w:rsidRDefault="00B93247" w:rsidP="002A720F">
            <w:pPr>
              <w:jc w:val="right"/>
              <w:rPr>
                <w:rFonts w:cs="Arial"/>
                <w:sz w:val="20"/>
              </w:rPr>
            </w:pPr>
            <w:r w:rsidRPr="00DC5123">
              <w:rPr>
                <w:rFonts w:cs="Arial"/>
                <w:sz w:val="20"/>
              </w:rPr>
              <w:t>14.001</w:t>
            </w:r>
          </w:p>
        </w:tc>
      </w:tr>
      <w:tr w:rsidR="004F48AF" w:rsidRPr="00D20CA5" w:rsidTr="00DC5123">
        <w:trPr>
          <w:trHeight w:val="377"/>
        </w:trPr>
        <w:tc>
          <w:tcPr>
            <w:tcW w:w="3780" w:type="dxa"/>
          </w:tcPr>
          <w:p w:rsidR="004F48AF" w:rsidRPr="00DC5123" w:rsidRDefault="004F48AF" w:rsidP="004262F6">
            <w:pPr>
              <w:spacing w:after="240"/>
              <w:rPr>
                <w:rFonts w:cs="Arial"/>
                <w:b/>
                <w:sz w:val="20"/>
              </w:rPr>
            </w:pPr>
            <w:r w:rsidRPr="00DC5123">
              <w:rPr>
                <w:rFonts w:cs="Arial"/>
                <w:b/>
                <w:sz w:val="20"/>
              </w:rPr>
              <w:t>Borrowing</w:t>
            </w:r>
          </w:p>
        </w:tc>
        <w:tc>
          <w:tcPr>
            <w:tcW w:w="1224" w:type="dxa"/>
          </w:tcPr>
          <w:p w:rsidR="004F48AF" w:rsidRPr="00DC5123" w:rsidRDefault="00CD304A" w:rsidP="004262F6">
            <w:pPr>
              <w:jc w:val="right"/>
              <w:rPr>
                <w:rFonts w:cs="Arial"/>
                <w:b/>
                <w:sz w:val="20"/>
              </w:rPr>
            </w:pPr>
            <w:r w:rsidRPr="00DC5123">
              <w:rPr>
                <w:rFonts w:cs="Arial"/>
                <w:b/>
                <w:sz w:val="20"/>
              </w:rPr>
              <w:t>1.900</w:t>
            </w:r>
          </w:p>
        </w:tc>
        <w:tc>
          <w:tcPr>
            <w:tcW w:w="1224" w:type="dxa"/>
          </w:tcPr>
          <w:p w:rsidR="004F48AF" w:rsidRPr="00DC5123" w:rsidRDefault="00B93247" w:rsidP="004262F6">
            <w:pPr>
              <w:jc w:val="right"/>
              <w:rPr>
                <w:rFonts w:cs="Arial"/>
                <w:b/>
                <w:sz w:val="20"/>
              </w:rPr>
            </w:pPr>
            <w:r w:rsidRPr="00DC5123">
              <w:rPr>
                <w:rFonts w:cs="Arial"/>
                <w:b/>
                <w:sz w:val="20"/>
              </w:rPr>
              <w:t>0</w:t>
            </w:r>
          </w:p>
        </w:tc>
        <w:tc>
          <w:tcPr>
            <w:tcW w:w="1336" w:type="dxa"/>
          </w:tcPr>
          <w:p w:rsidR="004F48AF" w:rsidRPr="00DC5123" w:rsidRDefault="00B93247" w:rsidP="002A720F">
            <w:pPr>
              <w:jc w:val="right"/>
              <w:rPr>
                <w:rFonts w:cs="Arial"/>
                <w:b/>
                <w:sz w:val="20"/>
              </w:rPr>
            </w:pPr>
            <w:r w:rsidRPr="00DC5123">
              <w:rPr>
                <w:rFonts w:cs="Arial"/>
                <w:b/>
                <w:sz w:val="20"/>
              </w:rPr>
              <w:t>43.882</w:t>
            </w:r>
          </w:p>
        </w:tc>
      </w:tr>
      <w:tr w:rsidR="004F48AF" w:rsidRPr="00D20CA5" w:rsidTr="00DC5123">
        <w:tc>
          <w:tcPr>
            <w:tcW w:w="3780" w:type="dxa"/>
          </w:tcPr>
          <w:p w:rsidR="004F48AF" w:rsidRPr="001E643C" w:rsidRDefault="004F48AF" w:rsidP="004262F6">
            <w:pPr>
              <w:spacing w:after="240"/>
              <w:rPr>
                <w:rFonts w:cs="Arial"/>
                <w:b/>
                <w:sz w:val="20"/>
              </w:rPr>
            </w:pPr>
            <w:r w:rsidRPr="001E643C">
              <w:rPr>
                <w:rFonts w:cs="Arial"/>
                <w:b/>
                <w:i/>
                <w:sz w:val="20"/>
              </w:rPr>
              <w:t>Add Maturing Debt to be replaced</w:t>
            </w:r>
            <w:r w:rsidRPr="001E643C">
              <w:rPr>
                <w:rFonts w:cs="Arial"/>
                <w:b/>
                <w:sz w:val="20"/>
              </w:rPr>
              <w:t>:</w:t>
            </w:r>
          </w:p>
        </w:tc>
        <w:tc>
          <w:tcPr>
            <w:tcW w:w="1224" w:type="dxa"/>
          </w:tcPr>
          <w:p w:rsidR="004F48AF" w:rsidRPr="00DC5123" w:rsidRDefault="004F48AF" w:rsidP="004262F6">
            <w:pPr>
              <w:jc w:val="right"/>
              <w:rPr>
                <w:rFonts w:cs="Arial"/>
                <w:sz w:val="20"/>
              </w:rPr>
            </w:pPr>
          </w:p>
        </w:tc>
        <w:tc>
          <w:tcPr>
            <w:tcW w:w="1224" w:type="dxa"/>
          </w:tcPr>
          <w:p w:rsidR="004F48AF" w:rsidRPr="00DC5123" w:rsidRDefault="004F48AF" w:rsidP="004262F6">
            <w:pPr>
              <w:jc w:val="right"/>
              <w:rPr>
                <w:rFonts w:cs="Arial"/>
                <w:sz w:val="20"/>
              </w:rPr>
            </w:pPr>
          </w:p>
        </w:tc>
        <w:tc>
          <w:tcPr>
            <w:tcW w:w="1336" w:type="dxa"/>
          </w:tcPr>
          <w:p w:rsidR="004F48AF" w:rsidRPr="00DC5123" w:rsidRDefault="004F48AF" w:rsidP="004262F6">
            <w:pPr>
              <w:jc w:val="right"/>
              <w:rPr>
                <w:rFonts w:cs="Arial"/>
                <w:sz w:val="20"/>
              </w:rPr>
            </w:pPr>
          </w:p>
        </w:tc>
      </w:tr>
      <w:tr w:rsidR="004F48AF" w:rsidRPr="00D20CA5" w:rsidTr="00DC5123">
        <w:trPr>
          <w:trHeight w:val="624"/>
        </w:trPr>
        <w:tc>
          <w:tcPr>
            <w:tcW w:w="3780" w:type="dxa"/>
          </w:tcPr>
          <w:p w:rsidR="004F48AF" w:rsidRPr="00DC5123" w:rsidRDefault="004F48AF" w:rsidP="004262F6">
            <w:pPr>
              <w:spacing w:after="240"/>
              <w:rPr>
                <w:rFonts w:cs="Arial"/>
                <w:sz w:val="20"/>
              </w:rPr>
            </w:pPr>
            <w:r w:rsidRPr="00DC5123">
              <w:rPr>
                <w:rFonts w:cs="Arial"/>
                <w:sz w:val="20"/>
              </w:rPr>
              <w:t>Long Term PWLB</w:t>
            </w:r>
          </w:p>
        </w:tc>
        <w:tc>
          <w:tcPr>
            <w:tcW w:w="1224" w:type="dxa"/>
          </w:tcPr>
          <w:p w:rsidR="004F48AF" w:rsidRPr="00DC5123" w:rsidRDefault="00E1144F" w:rsidP="004262F6">
            <w:pPr>
              <w:jc w:val="right"/>
              <w:rPr>
                <w:rFonts w:cs="Arial"/>
                <w:sz w:val="20"/>
              </w:rPr>
            </w:pPr>
            <w:r w:rsidRPr="00DC5123">
              <w:rPr>
                <w:rFonts w:cs="Arial"/>
                <w:sz w:val="20"/>
              </w:rPr>
              <w:t>0</w:t>
            </w:r>
          </w:p>
        </w:tc>
        <w:tc>
          <w:tcPr>
            <w:tcW w:w="1224" w:type="dxa"/>
          </w:tcPr>
          <w:p w:rsidR="004F48AF" w:rsidRPr="00DC5123" w:rsidRDefault="00AF6127" w:rsidP="004F48AF">
            <w:pPr>
              <w:jc w:val="right"/>
              <w:rPr>
                <w:rFonts w:cs="Arial"/>
                <w:sz w:val="20"/>
              </w:rPr>
            </w:pPr>
            <w:r w:rsidRPr="00DC5123">
              <w:rPr>
                <w:rFonts w:cs="Arial"/>
                <w:sz w:val="20"/>
              </w:rPr>
              <w:t>0</w:t>
            </w:r>
          </w:p>
          <w:p w:rsidR="004F48AF" w:rsidRPr="00DC5123" w:rsidRDefault="004F48AF" w:rsidP="004F48AF">
            <w:pPr>
              <w:jc w:val="right"/>
              <w:rPr>
                <w:rFonts w:cs="Arial"/>
                <w:sz w:val="20"/>
              </w:rPr>
            </w:pPr>
          </w:p>
        </w:tc>
        <w:tc>
          <w:tcPr>
            <w:tcW w:w="1336" w:type="dxa"/>
          </w:tcPr>
          <w:p w:rsidR="004F48AF" w:rsidRPr="00DC5123" w:rsidRDefault="00E1144F" w:rsidP="004262F6">
            <w:pPr>
              <w:jc w:val="right"/>
              <w:rPr>
                <w:rFonts w:cs="Arial"/>
                <w:sz w:val="20"/>
              </w:rPr>
            </w:pPr>
            <w:r w:rsidRPr="00DC5123">
              <w:rPr>
                <w:rFonts w:cs="Arial"/>
                <w:sz w:val="20"/>
              </w:rPr>
              <w:t>0</w:t>
            </w:r>
          </w:p>
        </w:tc>
      </w:tr>
      <w:tr w:rsidR="004F48AF" w:rsidRPr="00D20CA5" w:rsidTr="00DC5123">
        <w:tc>
          <w:tcPr>
            <w:tcW w:w="3780" w:type="dxa"/>
          </w:tcPr>
          <w:p w:rsidR="004F48AF" w:rsidRPr="00DC5123" w:rsidRDefault="004F48AF" w:rsidP="004262F6">
            <w:pPr>
              <w:spacing w:after="240"/>
              <w:rPr>
                <w:rFonts w:cs="Arial"/>
                <w:sz w:val="20"/>
              </w:rPr>
            </w:pPr>
            <w:r w:rsidRPr="00DC5123">
              <w:rPr>
                <w:rFonts w:cs="Arial"/>
                <w:sz w:val="20"/>
              </w:rPr>
              <w:t>Short Term Market Borrowing</w:t>
            </w:r>
          </w:p>
        </w:tc>
        <w:tc>
          <w:tcPr>
            <w:tcW w:w="1224" w:type="dxa"/>
          </w:tcPr>
          <w:p w:rsidR="004F48AF" w:rsidRPr="00DC5123" w:rsidRDefault="00CD304A" w:rsidP="004262F6">
            <w:pPr>
              <w:jc w:val="right"/>
              <w:rPr>
                <w:rFonts w:cs="Arial"/>
                <w:sz w:val="20"/>
              </w:rPr>
            </w:pPr>
            <w:r w:rsidRPr="00DC5123">
              <w:rPr>
                <w:rFonts w:cs="Arial"/>
                <w:sz w:val="20"/>
              </w:rPr>
              <w:t>264.700</w:t>
            </w:r>
          </w:p>
          <w:p w:rsidR="004F48AF" w:rsidRPr="00DC5123" w:rsidRDefault="004F48AF" w:rsidP="004262F6">
            <w:pPr>
              <w:jc w:val="right"/>
              <w:rPr>
                <w:rFonts w:cs="Arial"/>
                <w:sz w:val="20"/>
              </w:rPr>
            </w:pPr>
          </w:p>
        </w:tc>
        <w:tc>
          <w:tcPr>
            <w:tcW w:w="1224" w:type="dxa"/>
          </w:tcPr>
          <w:p w:rsidR="004F48AF" w:rsidRPr="00DC5123" w:rsidRDefault="006B6339" w:rsidP="008D59A3">
            <w:pPr>
              <w:jc w:val="right"/>
              <w:rPr>
                <w:rFonts w:cs="Arial"/>
                <w:sz w:val="20"/>
              </w:rPr>
            </w:pPr>
            <w:r w:rsidRPr="006A3150">
              <w:rPr>
                <w:rFonts w:cs="Arial"/>
                <w:sz w:val="20"/>
              </w:rPr>
              <w:t>264.700</w:t>
            </w:r>
          </w:p>
        </w:tc>
        <w:tc>
          <w:tcPr>
            <w:tcW w:w="1336" w:type="dxa"/>
          </w:tcPr>
          <w:p w:rsidR="004F48AF" w:rsidRPr="00DC5123" w:rsidRDefault="00B93247" w:rsidP="004F48AF">
            <w:pPr>
              <w:jc w:val="right"/>
              <w:rPr>
                <w:rFonts w:cs="Arial"/>
                <w:sz w:val="20"/>
              </w:rPr>
            </w:pPr>
            <w:r w:rsidRPr="00DC5123">
              <w:rPr>
                <w:rFonts w:cs="Arial"/>
                <w:sz w:val="20"/>
              </w:rPr>
              <w:t>264.700</w:t>
            </w:r>
          </w:p>
        </w:tc>
      </w:tr>
      <w:tr w:rsidR="004F48AF" w:rsidRPr="00D20CA5" w:rsidTr="00DC5123">
        <w:tc>
          <w:tcPr>
            <w:tcW w:w="3780" w:type="dxa"/>
          </w:tcPr>
          <w:p w:rsidR="004F48AF" w:rsidRPr="00DC5123" w:rsidRDefault="004F48AF" w:rsidP="004262F6">
            <w:pPr>
              <w:spacing w:after="240"/>
              <w:rPr>
                <w:rFonts w:cs="Arial"/>
                <w:sz w:val="20"/>
              </w:rPr>
            </w:pPr>
            <w:r w:rsidRPr="00DC5123">
              <w:rPr>
                <w:rFonts w:cs="Arial"/>
                <w:sz w:val="20"/>
              </w:rPr>
              <w:t>Less Transferred Debt</w:t>
            </w:r>
          </w:p>
        </w:tc>
        <w:tc>
          <w:tcPr>
            <w:tcW w:w="1224" w:type="dxa"/>
          </w:tcPr>
          <w:p w:rsidR="004F48AF" w:rsidRPr="00DC5123" w:rsidRDefault="00E1144F" w:rsidP="004262F6">
            <w:pPr>
              <w:jc w:val="right"/>
              <w:rPr>
                <w:rFonts w:cs="Arial"/>
                <w:sz w:val="20"/>
              </w:rPr>
            </w:pPr>
            <w:r w:rsidRPr="00DC5123">
              <w:rPr>
                <w:rFonts w:cs="Arial"/>
                <w:sz w:val="20"/>
              </w:rPr>
              <w:t>2.</w:t>
            </w:r>
            <w:r w:rsidR="00CD304A" w:rsidRPr="00DC5123">
              <w:rPr>
                <w:rFonts w:cs="Arial"/>
                <w:sz w:val="20"/>
              </w:rPr>
              <w:t>033</w:t>
            </w:r>
          </w:p>
        </w:tc>
        <w:tc>
          <w:tcPr>
            <w:tcW w:w="1224" w:type="dxa"/>
          </w:tcPr>
          <w:p w:rsidR="004F48AF" w:rsidRPr="00DC5123" w:rsidRDefault="009A693F" w:rsidP="004262F6">
            <w:pPr>
              <w:jc w:val="right"/>
              <w:rPr>
                <w:rFonts w:cs="Arial"/>
                <w:sz w:val="20"/>
              </w:rPr>
            </w:pPr>
            <w:r w:rsidRPr="00DC5123">
              <w:rPr>
                <w:rFonts w:cs="Arial"/>
                <w:sz w:val="20"/>
              </w:rPr>
              <w:t>2.</w:t>
            </w:r>
            <w:r w:rsidR="00B93247" w:rsidRPr="00DC5123">
              <w:rPr>
                <w:rFonts w:cs="Arial"/>
                <w:sz w:val="20"/>
              </w:rPr>
              <w:t>033</w:t>
            </w:r>
          </w:p>
        </w:tc>
        <w:tc>
          <w:tcPr>
            <w:tcW w:w="1336" w:type="dxa"/>
          </w:tcPr>
          <w:p w:rsidR="004F48AF" w:rsidRPr="00DC5123" w:rsidRDefault="00B93247" w:rsidP="004262F6">
            <w:pPr>
              <w:jc w:val="right"/>
              <w:rPr>
                <w:rFonts w:cs="Arial"/>
                <w:sz w:val="20"/>
              </w:rPr>
            </w:pPr>
            <w:r w:rsidRPr="00DC5123">
              <w:rPr>
                <w:rFonts w:cs="Arial"/>
                <w:sz w:val="20"/>
              </w:rPr>
              <w:t>1.967</w:t>
            </w:r>
          </w:p>
        </w:tc>
      </w:tr>
      <w:tr w:rsidR="004F48AF" w:rsidRPr="00D20CA5" w:rsidTr="00DC5123">
        <w:tc>
          <w:tcPr>
            <w:tcW w:w="3780" w:type="dxa"/>
          </w:tcPr>
          <w:p w:rsidR="004F48AF" w:rsidRPr="00DC5123" w:rsidRDefault="004F48AF" w:rsidP="004262F6">
            <w:pPr>
              <w:spacing w:after="240"/>
              <w:rPr>
                <w:rFonts w:cs="Arial"/>
                <w:sz w:val="20"/>
              </w:rPr>
            </w:pPr>
            <w:r w:rsidRPr="00DC5123">
              <w:rPr>
                <w:rFonts w:cs="Arial"/>
                <w:sz w:val="20"/>
              </w:rPr>
              <w:t>Less Statutory Charge to Revenue</w:t>
            </w:r>
          </w:p>
        </w:tc>
        <w:tc>
          <w:tcPr>
            <w:tcW w:w="1224" w:type="dxa"/>
          </w:tcPr>
          <w:p w:rsidR="004F48AF" w:rsidRPr="00DC5123" w:rsidRDefault="00CD304A" w:rsidP="004262F6">
            <w:pPr>
              <w:jc w:val="right"/>
              <w:rPr>
                <w:rFonts w:cs="Arial"/>
                <w:sz w:val="20"/>
              </w:rPr>
            </w:pPr>
            <w:r w:rsidRPr="00DC5123">
              <w:rPr>
                <w:rFonts w:cs="Arial"/>
                <w:sz w:val="20"/>
              </w:rPr>
              <w:t>37.228</w:t>
            </w:r>
          </w:p>
        </w:tc>
        <w:tc>
          <w:tcPr>
            <w:tcW w:w="1224" w:type="dxa"/>
          </w:tcPr>
          <w:p w:rsidR="004F48AF" w:rsidRPr="00DC5123" w:rsidRDefault="00D33200" w:rsidP="004262F6">
            <w:pPr>
              <w:jc w:val="right"/>
              <w:rPr>
                <w:rFonts w:cs="Arial"/>
                <w:sz w:val="20"/>
              </w:rPr>
            </w:pPr>
            <w:r w:rsidRPr="00DC5123">
              <w:rPr>
                <w:rFonts w:cs="Arial"/>
                <w:sz w:val="20"/>
              </w:rPr>
              <w:t>27.285</w:t>
            </w:r>
          </w:p>
        </w:tc>
        <w:tc>
          <w:tcPr>
            <w:tcW w:w="1336" w:type="dxa"/>
          </w:tcPr>
          <w:p w:rsidR="004F48AF" w:rsidRPr="00DC5123" w:rsidRDefault="00B93247" w:rsidP="004262F6">
            <w:pPr>
              <w:jc w:val="right"/>
              <w:rPr>
                <w:rFonts w:cs="Arial"/>
                <w:sz w:val="20"/>
              </w:rPr>
            </w:pPr>
            <w:r w:rsidRPr="00DC5123">
              <w:rPr>
                <w:rFonts w:cs="Arial"/>
                <w:sz w:val="20"/>
              </w:rPr>
              <w:t>35.655</w:t>
            </w:r>
          </w:p>
        </w:tc>
      </w:tr>
      <w:tr w:rsidR="004F48AF" w:rsidRPr="00D20CA5" w:rsidTr="00DC5123">
        <w:trPr>
          <w:trHeight w:val="678"/>
        </w:trPr>
        <w:tc>
          <w:tcPr>
            <w:tcW w:w="3780" w:type="dxa"/>
          </w:tcPr>
          <w:p w:rsidR="004F48AF" w:rsidRPr="00DC5123" w:rsidRDefault="004F48AF" w:rsidP="004262F6">
            <w:pPr>
              <w:spacing w:after="240"/>
              <w:rPr>
                <w:rFonts w:cs="Arial"/>
                <w:b/>
                <w:bCs/>
                <w:sz w:val="20"/>
              </w:rPr>
            </w:pPr>
            <w:r w:rsidRPr="00DC5123">
              <w:rPr>
                <w:rFonts w:cs="Arial"/>
                <w:b/>
                <w:bCs/>
                <w:sz w:val="20"/>
              </w:rPr>
              <w:t>Total Borrowing Requirement</w:t>
            </w:r>
          </w:p>
        </w:tc>
        <w:tc>
          <w:tcPr>
            <w:tcW w:w="1224" w:type="dxa"/>
          </w:tcPr>
          <w:p w:rsidR="004F48AF" w:rsidRPr="00DC5123" w:rsidRDefault="00CD304A" w:rsidP="004262F6">
            <w:pPr>
              <w:jc w:val="right"/>
              <w:rPr>
                <w:rFonts w:cs="Arial"/>
                <w:b/>
                <w:bCs/>
                <w:sz w:val="20"/>
              </w:rPr>
            </w:pPr>
            <w:r w:rsidRPr="00DC5123">
              <w:rPr>
                <w:rFonts w:cs="Arial"/>
                <w:b/>
                <w:bCs/>
                <w:sz w:val="20"/>
              </w:rPr>
              <w:t>227.339</w:t>
            </w:r>
          </w:p>
        </w:tc>
        <w:tc>
          <w:tcPr>
            <w:tcW w:w="1224" w:type="dxa"/>
          </w:tcPr>
          <w:p w:rsidR="004F48AF" w:rsidRPr="00DC5123" w:rsidRDefault="002339EF" w:rsidP="008D59A3">
            <w:pPr>
              <w:jc w:val="right"/>
              <w:rPr>
                <w:rFonts w:cs="Arial"/>
                <w:b/>
                <w:bCs/>
                <w:sz w:val="20"/>
              </w:rPr>
            </w:pPr>
            <w:r w:rsidRPr="00DC5123">
              <w:rPr>
                <w:rFonts w:cs="Arial"/>
                <w:b/>
                <w:bCs/>
                <w:sz w:val="20"/>
              </w:rPr>
              <w:t>235.382</w:t>
            </w:r>
          </w:p>
        </w:tc>
        <w:tc>
          <w:tcPr>
            <w:tcW w:w="1336" w:type="dxa"/>
          </w:tcPr>
          <w:p w:rsidR="004F48AF" w:rsidRPr="00DC5123" w:rsidRDefault="00B93247" w:rsidP="004262F6">
            <w:pPr>
              <w:jc w:val="right"/>
              <w:rPr>
                <w:rFonts w:cs="Arial"/>
                <w:b/>
                <w:bCs/>
                <w:sz w:val="20"/>
              </w:rPr>
            </w:pPr>
            <w:r w:rsidRPr="00DC5123">
              <w:rPr>
                <w:rFonts w:cs="Arial"/>
                <w:b/>
                <w:bCs/>
                <w:sz w:val="20"/>
              </w:rPr>
              <w:t>270.960</w:t>
            </w:r>
          </w:p>
        </w:tc>
      </w:tr>
    </w:tbl>
    <w:p w:rsidR="00E362C7" w:rsidRPr="00D20CA5" w:rsidRDefault="00E362C7" w:rsidP="00E362C7">
      <w:pPr>
        <w:rPr>
          <w:highlight w:val="cyan"/>
        </w:rPr>
      </w:pPr>
    </w:p>
    <w:p w:rsidR="008664F8" w:rsidRDefault="008664F8"/>
    <w:p w:rsidR="00F90829" w:rsidRDefault="00671CDA">
      <w:pPr>
        <w:rPr>
          <w:highlight w:val="cyan"/>
        </w:rPr>
      </w:pPr>
      <w:r>
        <w:t>T</w:t>
      </w:r>
      <w:r w:rsidR="00C87EF6" w:rsidRPr="0094605B">
        <w:t xml:space="preserve">he revised capital programme </w:t>
      </w:r>
      <w:r>
        <w:t>estimated that £1.9m of</w:t>
      </w:r>
      <w:r w:rsidR="00C87EF6" w:rsidRPr="0094605B">
        <w:t xml:space="preserve"> new borrowing </w:t>
      </w:r>
      <w:r>
        <w:t>would be required to finance the capital programme. However lower than anticipated capital expenditure meant this borrowing was not required.</w:t>
      </w:r>
      <w:r w:rsidR="00F90829">
        <w:rPr>
          <w:highlight w:val="cyan"/>
        </w:rPr>
        <w:br w:type="page"/>
      </w:r>
    </w:p>
    <w:p w:rsidR="004262F6" w:rsidRPr="00D20CA5" w:rsidRDefault="004262F6" w:rsidP="00E362C7">
      <w:pPr>
        <w:rPr>
          <w:highlight w:val="cyan"/>
        </w:rPr>
      </w:pPr>
    </w:p>
    <w:p w:rsidR="00E362C7" w:rsidRPr="00214D21" w:rsidRDefault="00E362C7" w:rsidP="00E362C7">
      <w:pPr>
        <w:rPr>
          <w:b/>
        </w:rPr>
      </w:pPr>
      <w:r w:rsidRPr="00214D21">
        <w:rPr>
          <w:b/>
        </w:rPr>
        <w:t xml:space="preserve">Analysis of Debt Outstanding </w:t>
      </w:r>
    </w:p>
    <w:p w:rsidR="00E362C7" w:rsidRPr="00D20CA5" w:rsidRDefault="00E362C7" w:rsidP="00E362C7">
      <w:pPr>
        <w:rPr>
          <w:highlight w:val="cyan"/>
        </w:rPr>
      </w:pPr>
    </w:p>
    <w:p w:rsidR="005D21D7" w:rsidRDefault="00E362C7" w:rsidP="005D21D7">
      <w:r w:rsidRPr="00656ECE">
        <w:t xml:space="preserve">The following table sets out the structure of the County Council’s debt </w:t>
      </w:r>
      <w:r w:rsidR="00F453CD" w:rsidRPr="00656ECE">
        <w:t>at 31</w:t>
      </w:r>
      <w:r w:rsidR="00F453CD" w:rsidRPr="00656ECE">
        <w:rPr>
          <w:vertAlign w:val="superscript"/>
        </w:rPr>
        <w:t>st</w:t>
      </w:r>
      <w:r w:rsidR="00F453CD" w:rsidRPr="00656ECE">
        <w:t xml:space="preserve"> March</w:t>
      </w:r>
      <w:r w:rsidRPr="00656ECE">
        <w:t xml:space="preserve"> </w:t>
      </w:r>
      <w:r w:rsidR="00F453CD" w:rsidRPr="00656ECE">
        <w:t>201</w:t>
      </w:r>
      <w:r w:rsidR="00656ECE" w:rsidRPr="00656ECE">
        <w:t>4</w:t>
      </w:r>
      <w:r w:rsidR="00F453CD" w:rsidRPr="00656ECE">
        <w:t>.</w:t>
      </w:r>
      <w:r w:rsidR="00A31AA5" w:rsidRPr="00656ECE">
        <w:t xml:space="preserve"> </w:t>
      </w:r>
    </w:p>
    <w:p w:rsidR="00DC5123" w:rsidRDefault="00DC5123" w:rsidP="005D21D7"/>
    <w:tbl>
      <w:tblPr>
        <w:tblW w:w="8000" w:type="dxa"/>
        <w:tblInd w:w="93" w:type="dxa"/>
        <w:tblLook w:val="04A0" w:firstRow="1" w:lastRow="0" w:firstColumn="1" w:lastColumn="0" w:noHBand="0" w:noVBand="1"/>
      </w:tblPr>
      <w:tblGrid>
        <w:gridCol w:w="2066"/>
        <w:gridCol w:w="828"/>
        <w:gridCol w:w="828"/>
        <w:gridCol w:w="1216"/>
        <w:gridCol w:w="1406"/>
        <w:gridCol w:w="828"/>
        <w:gridCol w:w="828"/>
      </w:tblGrid>
      <w:tr w:rsidR="00DC5123" w:rsidRPr="00DC5123" w:rsidTr="00DC5123">
        <w:trPr>
          <w:cantSplit/>
          <w:trHeight w:val="315"/>
        </w:trPr>
        <w:tc>
          <w:tcPr>
            <w:tcW w:w="2620" w:type="dxa"/>
            <w:vMerge w:val="restart"/>
            <w:tcBorders>
              <w:top w:val="single" w:sz="8" w:space="0" w:color="auto"/>
              <w:left w:val="single" w:sz="8" w:space="0" w:color="auto"/>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1500" w:type="dxa"/>
            <w:gridSpan w:val="2"/>
            <w:tcBorders>
              <w:top w:val="single" w:sz="8" w:space="0" w:color="auto"/>
              <w:left w:val="nil"/>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Debt at</w:t>
            </w:r>
          </w:p>
        </w:tc>
        <w:tc>
          <w:tcPr>
            <w:tcW w:w="1100" w:type="dxa"/>
            <w:tcBorders>
              <w:top w:val="single" w:sz="8" w:space="0" w:color="auto"/>
              <w:left w:val="nil"/>
              <w:bottom w:val="nil"/>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Borrowing</w:t>
            </w:r>
          </w:p>
        </w:tc>
        <w:tc>
          <w:tcPr>
            <w:tcW w:w="1280" w:type="dxa"/>
            <w:tcBorders>
              <w:top w:val="single" w:sz="8" w:space="0" w:color="auto"/>
              <w:left w:val="nil"/>
              <w:bottom w:val="nil"/>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Repayments</w:t>
            </w:r>
          </w:p>
        </w:tc>
        <w:tc>
          <w:tcPr>
            <w:tcW w:w="1500" w:type="dxa"/>
            <w:gridSpan w:val="2"/>
            <w:tcBorders>
              <w:top w:val="single" w:sz="8" w:space="0" w:color="auto"/>
              <w:left w:val="nil"/>
              <w:bottom w:val="nil"/>
              <w:right w:val="single" w:sz="8" w:space="0" w:color="000000"/>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Debt at</w:t>
            </w:r>
          </w:p>
        </w:tc>
      </w:tr>
      <w:tr w:rsidR="00DC5123" w:rsidRPr="00DC5123" w:rsidTr="00DC5123">
        <w:trPr>
          <w:trHeight w:val="300"/>
        </w:trPr>
        <w:tc>
          <w:tcPr>
            <w:tcW w:w="2620" w:type="dxa"/>
            <w:vMerge/>
            <w:tcBorders>
              <w:top w:val="single" w:sz="8" w:space="0" w:color="auto"/>
              <w:left w:val="single" w:sz="8" w:space="0" w:color="auto"/>
              <w:bottom w:val="nil"/>
              <w:right w:val="nil"/>
            </w:tcBorders>
            <w:vAlign w:val="center"/>
            <w:hideMark/>
          </w:tcPr>
          <w:p w:rsidR="00DC5123" w:rsidRPr="00DC5123" w:rsidRDefault="00DC5123" w:rsidP="00DC5123">
            <w:pPr>
              <w:rPr>
                <w:rFonts w:cs="Arial"/>
                <w:b/>
                <w:bCs/>
                <w:color w:val="000000"/>
                <w:sz w:val="20"/>
              </w:rPr>
            </w:pPr>
          </w:p>
        </w:tc>
        <w:tc>
          <w:tcPr>
            <w:tcW w:w="1500" w:type="dxa"/>
            <w:gridSpan w:val="2"/>
            <w:tcBorders>
              <w:top w:val="nil"/>
              <w:left w:val="nil"/>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31-Mar-13</w:t>
            </w:r>
          </w:p>
        </w:tc>
        <w:tc>
          <w:tcPr>
            <w:tcW w:w="1100" w:type="dxa"/>
            <w:tcBorders>
              <w:top w:val="nil"/>
              <w:left w:val="nil"/>
              <w:bottom w:val="nil"/>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 </w:t>
            </w:r>
          </w:p>
        </w:tc>
        <w:tc>
          <w:tcPr>
            <w:tcW w:w="1280" w:type="dxa"/>
            <w:tcBorders>
              <w:top w:val="nil"/>
              <w:left w:val="nil"/>
              <w:bottom w:val="nil"/>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 </w:t>
            </w:r>
          </w:p>
        </w:tc>
        <w:tc>
          <w:tcPr>
            <w:tcW w:w="1500" w:type="dxa"/>
            <w:gridSpan w:val="2"/>
            <w:tcBorders>
              <w:top w:val="nil"/>
              <w:left w:val="nil"/>
              <w:bottom w:val="nil"/>
              <w:right w:val="single" w:sz="8" w:space="0" w:color="000000"/>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31-Mar-14</w:t>
            </w:r>
          </w:p>
        </w:tc>
      </w:tr>
      <w:tr w:rsidR="00DC5123" w:rsidRPr="00DC5123" w:rsidTr="00DC5123">
        <w:trPr>
          <w:cantSplit/>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 </w:t>
            </w:r>
          </w:p>
        </w:tc>
        <w:tc>
          <w:tcPr>
            <w:tcW w:w="1500" w:type="dxa"/>
            <w:gridSpan w:val="2"/>
            <w:tcBorders>
              <w:top w:val="nil"/>
              <w:left w:val="nil"/>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128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1500" w:type="dxa"/>
            <w:gridSpan w:val="2"/>
            <w:tcBorders>
              <w:top w:val="nil"/>
              <w:left w:val="nil"/>
              <w:bottom w:val="nil"/>
              <w:right w:val="single" w:sz="8" w:space="0" w:color="000000"/>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£m</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£m</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£m</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£m</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404040"/>
                <w:sz w:val="20"/>
              </w:rPr>
            </w:pPr>
            <w:r w:rsidRPr="00DC5123">
              <w:rPr>
                <w:rFonts w:cs="Arial"/>
                <w:color w:val="404040"/>
                <w:sz w:val="20"/>
              </w:rPr>
              <w:t>Fixed Rate Funding</w:t>
            </w:r>
          </w:p>
        </w:tc>
        <w:tc>
          <w:tcPr>
            <w:tcW w:w="80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c>
          <w:tcPr>
            <w:tcW w:w="70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c>
          <w:tcPr>
            <w:tcW w:w="128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DC5123">
            <w:pPr>
              <w:jc w:val="center"/>
              <w:rPr>
                <w:rFonts w:cs="Arial"/>
                <w:color w:val="000000"/>
                <w:sz w:val="20"/>
              </w:rPr>
            </w:pPr>
            <w:r w:rsidRPr="00DC5123">
              <w:rPr>
                <w:rFonts w:cs="Arial"/>
                <w:color w:val="000000"/>
                <w:sz w:val="20"/>
              </w:rPr>
              <w:t> </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Public Works Loan Board</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213.10</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26.04</w:t>
            </w:r>
          </w:p>
        </w:tc>
        <w:tc>
          <w:tcPr>
            <w:tcW w:w="110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128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213.10</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26.22</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2E1EA5" w:rsidP="00DC5123">
            <w:pPr>
              <w:rPr>
                <w:rFonts w:cs="Arial"/>
                <w:color w:val="000000"/>
                <w:sz w:val="20"/>
              </w:rPr>
            </w:pPr>
            <w:r w:rsidRPr="005455A5">
              <w:rPr>
                <w:rFonts w:cs="Arial"/>
                <w:sz w:val="20"/>
              </w:rPr>
              <w:t>*</w:t>
            </w:r>
            <w:r w:rsidR="00DC5123" w:rsidRPr="005455A5">
              <w:rPr>
                <w:rFonts w:cs="Arial"/>
                <w:sz w:val="20"/>
              </w:rPr>
              <w:t>LOBO</w:t>
            </w:r>
            <w:r w:rsidR="00DC5123" w:rsidRPr="00DC5123">
              <w:rPr>
                <w:rFonts w:cs="Arial"/>
                <w:color w:val="000000"/>
                <w:sz w:val="20"/>
              </w:rPr>
              <w:t xml:space="preserve"> (RBS)</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50.00</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6.31</w:t>
            </w:r>
          </w:p>
        </w:tc>
        <w:tc>
          <w:tcPr>
            <w:tcW w:w="110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128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50.00</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6.15</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Local Bonds</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0.02</w:t>
            </w:r>
          </w:p>
        </w:tc>
        <w:tc>
          <w:tcPr>
            <w:tcW w:w="70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110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128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0.02</w:t>
            </w:r>
          </w:p>
        </w:tc>
        <w:tc>
          <w:tcPr>
            <w:tcW w:w="700" w:type="dxa"/>
            <w:tcBorders>
              <w:top w:val="nil"/>
              <w:left w:val="nil"/>
              <w:bottom w:val="nil"/>
              <w:right w:val="single" w:sz="8" w:space="0" w:color="auto"/>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Market Borrowing</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287.25</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37.22</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732.70</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689.00</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330.95</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40.73</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jc w:val="center"/>
              <w:rPr>
                <w:rFonts w:cs="Arial"/>
                <w:b/>
                <w:bCs/>
                <w:color w:val="000000"/>
                <w:sz w:val="20"/>
              </w:rPr>
            </w:pPr>
            <w:r w:rsidRPr="00DC5123">
              <w:rPr>
                <w:rFonts w:cs="Arial"/>
                <w:b/>
                <w:bCs/>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550.37</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732.70</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689.00</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594.07</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 </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Variable Rate Funding</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Public Works Loan Board</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125.75</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22.70</w:t>
            </w:r>
          </w:p>
        </w:tc>
        <w:tc>
          <w:tcPr>
            <w:tcW w:w="110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1280" w:type="dxa"/>
            <w:tcBorders>
              <w:top w:val="nil"/>
              <w:left w:val="nil"/>
              <w:bottom w:val="nil"/>
              <w:right w:val="nil"/>
            </w:tcBorders>
            <w:shd w:val="clear" w:color="000000" w:fill="FFFFFF"/>
            <w:vAlign w:val="center"/>
            <w:hideMark/>
          </w:tcPr>
          <w:p w:rsidR="00DC5123" w:rsidRPr="00DC5123" w:rsidRDefault="008664F8" w:rsidP="008664F8">
            <w:pPr>
              <w:jc w:val="right"/>
              <w:rPr>
                <w:rFonts w:cs="Arial"/>
                <w:color w:val="000000"/>
                <w:sz w:val="20"/>
              </w:rPr>
            </w:pPr>
            <w:r>
              <w:rPr>
                <w:rFonts w:cs="Arial"/>
                <w:color w:val="000000"/>
                <w:sz w:val="20"/>
              </w:rPr>
              <w:t>-</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125.75</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15.48</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Shared Investment Scheme</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61.49</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7.73</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527.09</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495.81</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92.77</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11.42</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187.24</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527.09</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495.81</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218.52</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r>
      <w:tr w:rsidR="00DC5123" w:rsidRPr="00DC5123" w:rsidTr="00DC5123">
        <w:trPr>
          <w:trHeight w:val="300"/>
        </w:trPr>
        <w:tc>
          <w:tcPr>
            <w:tcW w:w="2620" w:type="dxa"/>
            <w:tcBorders>
              <w:top w:val="nil"/>
              <w:left w:val="single" w:sz="8" w:space="0" w:color="auto"/>
              <w:bottom w:val="nil"/>
              <w:right w:val="nil"/>
            </w:tcBorders>
            <w:shd w:val="clear" w:color="000000" w:fill="FFFFFF"/>
            <w:vAlign w:val="center"/>
            <w:hideMark/>
          </w:tcPr>
          <w:p w:rsidR="00DC5123" w:rsidRPr="00DC5123" w:rsidRDefault="00DC5123" w:rsidP="00DC5123">
            <w:pPr>
              <w:rPr>
                <w:rFonts w:cs="Arial"/>
                <w:color w:val="000000"/>
                <w:sz w:val="20"/>
              </w:rPr>
            </w:pPr>
            <w:r w:rsidRPr="00DC5123">
              <w:rPr>
                <w:rFonts w:cs="Arial"/>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7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11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128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800" w:type="dxa"/>
            <w:tcBorders>
              <w:top w:val="nil"/>
              <w:left w:val="nil"/>
              <w:bottom w:val="nil"/>
              <w:right w:val="nil"/>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c>
          <w:tcPr>
            <w:tcW w:w="700" w:type="dxa"/>
            <w:tcBorders>
              <w:top w:val="nil"/>
              <w:left w:val="nil"/>
              <w:bottom w:val="nil"/>
              <w:right w:val="single" w:sz="8" w:space="0" w:color="auto"/>
            </w:tcBorders>
            <w:shd w:val="clear" w:color="000000" w:fill="FFFFFF"/>
            <w:vAlign w:val="center"/>
            <w:hideMark/>
          </w:tcPr>
          <w:p w:rsidR="00DC5123" w:rsidRPr="00DC5123" w:rsidRDefault="00DC5123" w:rsidP="008664F8">
            <w:pPr>
              <w:jc w:val="right"/>
              <w:rPr>
                <w:rFonts w:cs="Arial"/>
                <w:color w:val="000000"/>
                <w:sz w:val="20"/>
              </w:rPr>
            </w:pPr>
            <w:r w:rsidRPr="00DC5123">
              <w:rPr>
                <w:rFonts w:cs="Arial"/>
                <w:color w:val="000000"/>
                <w:sz w:val="20"/>
              </w:rPr>
              <w:t> </w:t>
            </w:r>
          </w:p>
        </w:tc>
      </w:tr>
      <w:tr w:rsidR="00DC5123" w:rsidRPr="00DC5123" w:rsidTr="00DC5123">
        <w:trPr>
          <w:trHeight w:val="525"/>
        </w:trPr>
        <w:tc>
          <w:tcPr>
            <w:tcW w:w="2620" w:type="dxa"/>
            <w:tcBorders>
              <w:top w:val="nil"/>
              <w:left w:val="single" w:sz="8" w:space="0" w:color="auto"/>
              <w:bottom w:val="single" w:sz="8" w:space="0" w:color="auto"/>
              <w:right w:val="nil"/>
            </w:tcBorders>
            <w:shd w:val="clear" w:color="000000" w:fill="FFFFFF"/>
            <w:vAlign w:val="center"/>
            <w:hideMark/>
          </w:tcPr>
          <w:p w:rsidR="00DC5123" w:rsidRPr="00DC5123" w:rsidRDefault="00DC5123" w:rsidP="00DC5123">
            <w:pPr>
              <w:rPr>
                <w:rFonts w:cs="Arial"/>
                <w:b/>
                <w:bCs/>
                <w:color w:val="000000"/>
                <w:sz w:val="20"/>
              </w:rPr>
            </w:pPr>
            <w:r w:rsidRPr="00DC5123">
              <w:rPr>
                <w:rFonts w:cs="Arial"/>
                <w:b/>
                <w:bCs/>
                <w:color w:val="000000"/>
                <w:sz w:val="20"/>
              </w:rPr>
              <w:t>Loan Debt Administered by the County Council</w:t>
            </w:r>
          </w:p>
        </w:tc>
        <w:tc>
          <w:tcPr>
            <w:tcW w:w="800" w:type="dxa"/>
            <w:tcBorders>
              <w:top w:val="nil"/>
              <w:left w:val="nil"/>
              <w:bottom w:val="single" w:sz="8" w:space="0" w:color="auto"/>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737.62</w:t>
            </w:r>
          </w:p>
        </w:tc>
        <w:tc>
          <w:tcPr>
            <w:tcW w:w="700" w:type="dxa"/>
            <w:tcBorders>
              <w:top w:val="nil"/>
              <w:left w:val="nil"/>
              <w:bottom w:val="single" w:sz="8" w:space="0" w:color="auto"/>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100.00</w:t>
            </w:r>
          </w:p>
        </w:tc>
        <w:tc>
          <w:tcPr>
            <w:tcW w:w="1100" w:type="dxa"/>
            <w:tcBorders>
              <w:top w:val="nil"/>
              <w:left w:val="nil"/>
              <w:bottom w:val="single" w:sz="8" w:space="0" w:color="auto"/>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1</w:t>
            </w:r>
            <w:r w:rsidR="004C50F4">
              <w:rPr>
                <w:rFonts w:cs="Arial"/>
                <w:b/>
                <w:bCs/>
                <w:color w:val="000000"/>
                <w:sz w:val="20"/>
              </w:rPr>
              <w:t>,</w:t>
            </w:r>
            <w:r w:rsidRPr="00DC5123">
              <w:rPr>
                <w:rFonts w:cs="Arial"/>
                <w:b/>
                <w:bCs/>
                <w:color w:val="000000"/>
                <w:sz w:val="20"/>
              </w:rPr>
              <w:t>259.786</w:t>
            </w:r>
          </w:p>
        </w:tc>
        <w:tc>
          <w:tcPr>
            <w:tcW w:w="1280" w:type="dxa"/>
            <w:tcBorders>
              <w:top w:val="nil"/>
              <w:left w:val="nil"/>
              <w:bottom w:val="single" w:sz="8" w:space="0" w:color="auto"/>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1</w:t>
            </w:r>
            <w:r w:rsidR="004C50F4">
              <w:rPr>
                <w:rFonts w:cs="Arial"/>
                <w:b/>
                <w:bCs/>
                <w:color w:val="000000"/>
                <w:sz w:val="20"/>
              </w:rPr>
              <w:t>,</w:t>
            </w:r>
            <w:r w:rsidRPr="00DC5123">
              <w:rPr>
                <w:rFonts w:cs="Arial"/>
                <w:b/>
                <w:bCs/>
                <w:color w:val="000000"/>
                <w:sz w:val="20"/>
              </w:rPr>
              <w:t>184.809</w:t>
            </w:r>
          </w:p>
        </w:tc>
        <w:tc>
          <w:tcPr>
            <w:tcW w:w="800" w:type="dxa"/>
            <w:tcBorders>
              <w:top w:val="nil"/>
              <w:left w:val="nil"/>
              <w:bottom w:val="single" w:sz="8" w:space="0" w:color="auto"/>
              <w:right w:val="nil"/>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812.59</w:t>
            </w:r>
          </w:p>
        </w:tc>
        <w:tc>
          <w:tcPr>
            <w:tcW w:w="700" w:type="dxa"/>
            <w:tcBorders>
              <w:top w:val="nil"/>
              <w:left w:val="nil"/>
              <w:bottom w:val="single" w:sz="8" w:space="0" w:color="auto"/>
              <w:right w:val="single" w:sz="8" w:space="0" w:color="auto"/>
            </w:tcBorders>
            <w:shd w:val="clear" w:color="000000" w:fill="FFFFFF"/>
            <w:vAlign w:val="center"/>
            <w:hideMark/>
          </w:tcPr>
          <w:p w:rsidR="00DC5123" w:rsidRPr="00DC5123" w:rsidRDefault="00DC5123" w:rsidP="008664F8">
            <w:pPr>
              <w:jc w:val="right"/>
              <w:rPr>
                <w:rFonts w:cs="Arial"/>
                <w:b/>
                <w:bCs/>
                <w:color w:val="000000"/>
                <w:sz w:val="20"/>
              </w:rPr>
            </w:pPr>
            <w:r w:rsidRPr="00DC5123">
              <w:rPr>
                <w:rFonts w:cs="Arial"/>
                <w:b/>
                <w:bCs/>
                <w:color w:val="000000"/>
                <w:sz w:val="20"/>
              </w:rPr>
              <w:t>100.00</w:t>
            </w:r>
          </w:p>
        </w:tc>
      </w:tr>
    </w:tbl>
    <w:p w:rsidR="00DC5123" w:rsidRPr="00656ECE" w:rsidRDefault="002E1EA5" w:rsidP="005D21D7">
      <w:r>
        <w:t>*</w:t>
      </w:r>
      <w:r w:rsidR="00A457F8">
        <w:t>Lender option borrower option</w:t>
      </w:r>
    </w:p>
    <w:p w:rsidR="000E7619" w:rsidRDefault="000E7619" w:rsidP="006A3150">
      <w:pPr>
        <w:ind w:right="-153"/>
        <w:rPr>
          <w:shd w:val="clear" w:color="auto" w:fill="FFFFFF" w:themeFill="background1"/>
        </w:rPr>
      </w:pPr>
    </w:p>
    <w:p w:rsidR="00AD1155" w:rsidRPr="008664F8" w:rsidRDefault="00E362C7" w:rsidP="006A3150">
      <w:pPr>
        <w:ind w:right="-153"/>
      </w:pPr>
      <w:r w:rsidRPr="006A4BC2">
        <w:rPr>
          <w:shd w:val="clear" w:color="auto" w:fill="FFFFFF" w:themeFill="background1"/>
        </w:rPr>
        <w:t xml:space="preserve">The total loan debt administered by the County Council at 31 March </w:t>
      </w:r>
      <w:r w:rsidR="00CA2C96" w:rsidRPr="006A4BC2">
        <w:rPr>
          <w:shd w:val="clear" w:color="auto" w:fill="FFFFFF" w:themeFill="background1"/>
        </w:rPr>
        <w:t>201</w:t>
      </w:r>
      <w:r w:rsidR="006A4BC2" w:rsidRPr="006A4BC2">
        <w:rPr>
          <w:shd w:val="clear" w:color="auto" w:fill="FFFFFF" w:themeFill="background1"/>
        </w:rPr>
        <w:t>4</w:t>
      </w:r>
      <w:r w:rsidR="00CA2C96" w:rsidRPr="006A4BC2">
        <w:rPr>
          <w:shd w:val="clear" w:color="auto" w:fill="FFFFFF" w:themeFill="background1"/>
        </w:rPr>
        <w:t xml:space="preserve"> </w:t>
      </w:r>
      <w:r w:rsidRPr="006A4BC2">
        <w:rPr>
          <w:shd w:val="clear" w:color="auto" w:fill="FFFFFF" w:themeFill="background1"/>
        </w:rPr>
        <w:t>of £</w:t>
      </w:r>
      <w:r w:rsidR="00714805">
        <w:rPr>
          <w:shd w:val="clear" w:color="auto" w:fill="FFFFFF" w:themeFill="background1"/>
        </w:rPr>
        <w:t>812.59m</w:t>
      </w:r>
      <w:r w:rsidR="00F95F07" w:rsidRPr="006A4BC2">
        <w:rPr>
          <w:shd w:val="clear" w:color="auto" w:fill="FFFFFF" w:themeFill="background1"/>
        </w:rPr>
        <w:t xml:space="preserve"> </w:t>
      </w:r>
      <w:r w:rsidRPr="006A4BC2">
        <w:rPr>
          <w:shd w:val="clear" w:color="auto" w:fill="FFFFFF" w:themeFill="background1"/>
        </w:rPr>
        <w:t xml:space="preserve">represents mainly borrowings over the years to finance the acquisition of the County Council’s fixed assets, which are </w:t>
      </w:r>
      <w:r w:rsidRPr="008664F8">
        <w:rPr>
          <w:shd w:val="clear" w:color="auto" w:fill="FFFFFF" w:themeFill="background1"/>
        </w:rPr>
        <w:t xml:space="preserve">currently valued </w:t>
      </w:r>
      <w:r w:rsidRPr="008664F8">
        <w:t xml:space="preserve">at </w:t>
      </w:r>
      <w:r w:rsidRPr="004D4931">
        <w:t>£</w:t>
      </w:r>
      <w:r w:rsidR="00390887" w:rsidRPr="004D4931">
        <w:t>2.</w:t>
      </w:r>
      <w:r w:rsidR="002C4D79" w:rsidRPr="004D4931">
        <w:t>6</w:t>
      </w:r>
      <w:r w:rsidR="004D4931">
        <w:t>71</w:t>
      </w:r>
      <w:r w:rsidR="002C4D79" w:rsidRPr="004D4931">
        <w:t xml:space="preserve"> </w:t>
      </w:r>
      <w:r w:rsidR="0050344A" w:rsidRPr="004D4931">
        <w:t>billion</w:t>
      </w:r>
      <w:r w:rsidR="00671CDA" w:rsidRPr="004D4931">
        <w:t>.</w:t>
      </w:r>
      <w:r w:rsidR="00671CDA" w:rsidRPr="008664F8">
        <w:t xml:space="preserve"> </w:t>
      </w:r>
    </w:p>
    <w:p w:rsidR="00FD0C52" w:rsidRPr="00FD0C52" w:rsidRDefault="00FD0C52" w:rsidP="00FD0C52">
      <w:pPr>
        <w:spacing w:line="276" w:lineRule="auto"/>
        <w:jc w:val="both"/>
      </w:pPr>
    </w:p>
    <w:p w:rsidR="00FD0C52" w:rsidRPr="00214D21" w:rsidRDefault="00FD0C52" w:rsidP="00FD0C52">
      <w:pPr>
        <w:rPr>
          <w:highlight w:val="red"/>
        </w:rPr>
      </w:pPr>
      <w:r w:rsidRPr="00FD0C52">
        <w:rPr>
          <w:rFonts w:cs="Arial"/>
        </w:rPr>
        <w:t>With short-term interest rates having remained much lower than long-term rates, it was more cost effective in the short-term</w:t>
      </w:r>
      <w:r>
        <w:rPr>
          <w:rFonts w:cs="Arial"/>
        </w:rPr>
        <w:t xml:space="preserve"> to </w:t>
      </w:r>
      <w:r w:rsidRPr="00FD0C52">
        <w:t xml:space="preserve">borrow short-term loans from the market, mainly from other local authorities.  By doing so, the </w:t>
      </w:r>
      <w:r w:rsidR="000F1A22">
        <w:t>Council</w:t>
      </w:r>
      <w:r w:rsidRPr="00FD0C52">
        <w:t xml:space="preserve"> was able to </w:t>
      </w:r>
      <w:r w:rsidR="006E2470">
        <w:t xml:space="preserve">keep </w:t>
      </w:r>
      <w:r w:rsidRPr="00FD0C52">
        <w:t>borrowing costs</w:t>
      </w:r>
      <w:r>
        <w:t xml:space="preserve"> </w:t>
      </w:r>
      <w:r w:rsidR="006E2470">
        <w:t xml:space="preserve">low </w:t>
      </w:r>
      <w:r w:rsidRPr="00FD0C52">
        <w:t xml:space="preserve">and reduce overall treasury risk. Whilst such a strategy is most likely to be beneficial over the next 2-3 years as official interest rates remain low, it is unlikely to be sustained in the medium-term. </w:t>
      </w:r>
    </w:p>
    <w:p w:rsidR="00FD0C52" w:rsidRPr="002E087B" w:rsidRDefault="00FD0C52" w:rsidP="00FD0C52"/>
    <w:p w:rsidR="00FD0C52" w:rsidRPr="00FD0C52" w:rsidRDefault="00FD0C52" w:rsidP="00FD0C52">
      <w:pPr>
        <w:rPr>
          <w:highlight w:val="yellow"/>
        </w:rPr>
      </w:pPr>
      <w:r w:rsidRPr="002E087B">
        <w:t>The County Treasurer will</w:t>
      </w:r>
      <w:r w:rsidR="00D64066">
        <w:t>, in conjunction with Arlingclose,</w:t>
      </w:r>
      <w:r w:rsidRPr="002E087B">
        <w:t xml:space="preserve"> continue to closely monitor interest rate forecasts in order to establish when long term interest rates might be expected to rise.  </w:t>
      </w:r>
    </w:p>
    <w:p w:rsidR="00FD0C52" w:rsidRDefault="00FD0C52" w:rsidP="00E25281"/>
    <w:p w:rsidR="00E25281" w:rsidRDefault="00E25281" w:rsidP="00E25281">
      <w:r w:rsidRPr="00F50691">
        <w:lastRenderedPageBreak/>
        <w:t xml:space="preserve">Overall the average rate of interest paid in </w:t>
      </w:r>
      <w:r w:rsidRPr="00F50691">
        <w:rPr>
          <w:caps/>
        </w:rPr>
        <w:t>201</w:t>
      </w:r>
      <w:r w:rsidR="00E40463" w:rsidRPr="00F50691">
        <w:rPr>
          <w:caps/>
        </w:rPr>
        <w:t>3/14</w:t>
      </w:r>
      <w:r w:rsidRPr="00F50691">
        <w:t xml:space="preserve"> on the debt administe</w:t>
      </w:r>
      <w:r w:rsidR="00F50691" w:rsidRPr="00F50691">
        <w:t>red by the County Council was 2.48</w:t>
      </w:r>
      <w:r w:rsidRPr="00F50691">
        <w:t xml:space="preserve">% per annum compared with an average rate of </w:t>
      </w:r>
      <w:r w:rsidR="00F50691" w:rsidRPr="00F50691">
        <w:t>2.45% in 2012/13</w:t>
      </w:r>
      <w:r w:rsidR="00BD7A65" w:rsidRPr="00F50691">
        <w:t xml:space="preserve">, </w:t>
      </w:r>
      <w:r w:rsidR="00F50691" w:rsidRPr="00F50691">
        <w:t xml:space="preserve"> 2.11% in 2011/12</w:t>
      </w:r>
      <w:r w:rsidR="008E68E7" w:rsidRPr="00F50691">
        <w:t xml:space="preserve"> and </w:t>
      </w:r>
      <w:r w:rsidR="00F50691" w:rsidRPr="00F50691">
        <w:t>2.69</w:t>
      </w:r>
      <w:r w:rsidRPr="00F50691">
        <w:t>% in 20</w:t>
      </w:r>
      <w:r w:rsidR="00F50691" w:rsidRPr="00F50691">
        <w:t>10/11</w:t>
      </w:r>
      <w:r w:rsidR="00D624C8" w:rsidRPr="00F50691">
        <w:t>.</w:t>
      </w:r>
    </w:p>
    <w:p w:rsidR="00B8395C" w:rsidRPr="00F50691" w:rsidRDefault="00B8395C" w:rsidP="00E25281"/>
    <w:p w:rsidR="00C502CF" w:rsidRPr="00214D21" w:rsidRDefault="00C502CF" w:rsidP="00214D21">
      <w:r w:rsidRPr="00214D21">
        <w:t>The chart</w:t>
      </w:r>
      <w:r w:rsidR="002E16B0">
        <w:t>s</w:t>
      </w:r>
      <w:r w:rsidRPr="00214D21">
        <w:t xml:space="preserve"> below show the </w:t>
      </w:r>
      <w:r w:rsidR="00D624C8" w:rsidRPr="00214D21">
        <w:t xml:space="preserve">maturity </w:t>
      </w:r>
      <w:r w:rsidR="002E16B0">
        <w:t xml:space="preserve">and portfolio profiles </w:t>
      </w:r>
      <w:r w:rsidR="00D624C8" w:rsidRPr="00214D21">
        <w:t>of the County Council's debt</w:t>
      </w:r>
      <w:r w:rsidR="002E16B0">
        <w:t xml:space="preserve"> as at 31 March 2014</w:t>
      </w:r>
      <w:r w:rsidR="00D624C8" w:rsidRPr="00214D21">
        <w:t>.</w:t>
      </w:r>
    </w:p>
    <w:p w:rsidR="004D3574" w:rsidRDefault="004D3574" w:rsidP="00E362C7">
      <w:pPr>
        <w:rPr>
          <w:highlight w:val="yellow"/>
        </w:rPr>
      </w:pPr>
    </w:p>
    <w:p w:rsidR="002E16B0" w:rsidRDefault="002E16B0" w:rsidP="00E362C7">
      <w:pPr>
        <w:rPr>
          <w:highlight w:val="yellow"/>
        </w:rPr>
      </w:pPr>
    </w:p>
    <w:p w:rsidR="002E16B0" w:rsidRDefault="006F7732" w:rsidP="00E362C7">
      <w:pPr>
        <w:rPr>
          <w:highlight w:val="yellow"/>
        </w:rPr>
      </w:pPr>
      <w:r>
        <w:rPr>
          <w:noProof/>
        </w:rPr>
        <w:lastRenderedPageBreak/>
        <w:drawing>
          <wp:inline distT="0" distB="0" distL="0" distR="0">
            <wp:extent cx="5600700" cy="457200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6B0" w:rsidRDefault="002E16B0" w:rsidP="00E362C7">
      <w:pPr>
        <w:rPr>
          <w:highlight w:val="yellow"/>
        </w:rPr>
      </w:pPr>
    </w:p>
    <w:p w:rsidR="002E16B0" w:rsidRDefault="002E16B0" w:rsidP="00E362C7">
      <w:pPr>
        <w:rPr>
          <w:highlight w:val="yellow"/>
        </w:rPr>
      </w:pPr>
    </w:p>
    <w:p w:rsidR="002E16B0" w:rsidRDefault="002E087B" w:rsidP="00E362C7">
      <w:pPr>
        <w:rPr>
          <w:highlight w:val="yellow"/>
        </w:rPr>
      </w:pPr>
      <w:r>
        <w:rPr>
          <w:noProof/>
        </w:rPr>
        <w:lastRenderedPageBreak/>
        <w:drawing>
          <wp:inline distT="0" distB="0" distL="0" distR="0">
            <wp:extent cx="5260769" cy="3515096"/>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16B0" w:rsidRPr="00382002" w:rsidRDefault="002E16B0" w:rsidP="00E362C7">
      <w:pPr>
        <w:rPr>
          <w:highlight w:val="yellow"/>
        </w:rPr>
      </w:pPr>
    </w:p>
    <w:p w:rsidR="00C1047E" w:rsidRDefault="00C1047E" w:rsidP="00E362C7">
      <w:pPr>
        <w:rPr>
          <w:b/>
        </w:rPr>
      </w:pPr>
    </w:p>
    <w:p w:rsidR="00E362C7" w:rsidRPr="00222490" w:rsidRDefault="00E362C7" w:rsidP="00E362C7">
      <w:pPr>
        <w:rPr>
          <w:b/>
        </w:rPr>
      </w:pPr>
      <w:r w:rsidRPr="00222490">
        <w:rPr>
          <w:b/>
        </w:rPr>
        <w:t>Investment</w:t>
      </w:r>
      <w:r w:rsidR="00222490">
        <w:rPr>
          <w:b/>
        </w:rPr>
        <w:t xml:space="preserve"> Activity</w:t>
      </w:r>
    </w:p>
    <w:p w:rsidR="001876A9" w:rsidRPr="0006455C" w:rsidRDefault="001876A9" w:rsidP="00E362C7">
      <w:pPr>
        <w:rPr>
          <w:highlight w:val="green"/>
        </w:rPr>
      </w:pPr>
    </w:p>
    <w:p w:rsidR="008B6CAA" w:rsidRDefault="001453CE" w:rsidP="00E362C7">
      <w:r w:rsidRPr="00D20CA5">
        <w:t xml:space="preserve">The total amount of investments </w:t>
      </w:r>
      <w:r w:rsidR="00E06E8C">
        <w:t>(</w:t>
      </w:r>
      <w:r w:rsidR="002339EF">
        <w:t>excluding</w:t>
      </w:r>
      <w:r w:rsidR="00FB2308">
        <w:t xml:space="preserve"> </w:t>
      </w:r>
      <w:r w:rsidR="00E06E8C">
        <w:t>fair value</w:t>
      </w:r>
      <w:r w:rsidR="002339EF">
        <w:t xml:space="preserve"> adjustment</w:t>
      </w:r>
      <w:r w:rsidR="00E06E8C">
        <w:t xml:space="preserve">) </w:t>
      </w:r>
      <w:r w:rsidRPr="00D20CA5">
        <w:t>held by Lancashire County Council at 31</w:t>
      </w:r>
      <w:r w:rsidR="00C21314" w:rsidRPr="00D20CA5">
        <w:rPr>
          <w:vertAlign w:val="superscript"/>
        </w:rPr>
        <w:t>st</w:t>
      </w:r>
      <w:r w:rsidRPr="00D20CA5">
        <w:t xml:space="preserve"> March 201</w:t>
      </w:r>
      <w:r w:rsidR="00FB2308">
        <w:t>4</w:t>
      </w:r>
      <w:r w:rsidRPr="00D20CA5">
        <w:t xml:space="preserve"> is £</w:t>
      </w:r>
      <w:r w:rsidR="00D20CA5">
        <w:t>587.07m including £57.748</w:t>
      </w:r>
      <w:r w:rsidR="006808DD" w:rsidRPr="00D20CA5">
        <w:t xml:space="preserve">m of cash </w:t>
      </w:r>
      <w:r w:rsidR="006808DD" w:rsidRPr="00D20CA5">
        <w:lastRenderedPageBreak/>
        <w:t>and cash equivalents</w:t>
      </w:r>
      <w:r w:rsidRPr="00D20CA5">
        <w:t xml:space="preserve">. </w:t>
      </w:r>
      <w:r w:rsidR="008F3C20" w:rsidRPr="00D20CA5">
        <w:t xml:space="preserve"> </w:t>
      </w:r>
      <w:r w:rsidRPr="00D20CA5">
        <w:t xml:space="preserve">The table below shows the asset classes and the proportion of investments held in each class. </w:t>
      </w:r>
    </w:p>
    <w:p w:rsidR="0064230A" w:rsidRDefault="0064230A" w:rsidP="00E362C7"/>
    <w:p w:rsidR="008B6CAA" w:rsidRDefault="00F43F91" w:rsidP="00E362C7">
      <w:pPr>
        <w:rPr>
          <w:noProof/>
        </w:rPr>
      </w:pPr>
      <w:r w:rsidRPr="00F43F91">
        <w:rPr>
          <w:noProof/>
        </w:rPr>
        <w:drawing>
          <wp:inline distT="0" distB="0" distL="0" distR="0">
            <wp:extent cx="5732145" cy="3379376"/>
            <wp:effectExtent l="0" t="0" r="0" b="0"/>
            <wp:docPr id="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30A" w:rsidRPr="00D20CA5" w:rsidRDefault="0064230A" w:rsidP="00E362C7"/>
    <w:p w:rsidR="00BE6FB4" w:rsidRDefault="00BE6FB4" w:rsidP="00534AA2"/>
    <w:p w:rsidR="008B6CAA" w:rsidRDefault="008B6CAA" w:rsidP="00534AA2"/>
    <w:p w:rsidR="008B6CAA" w:rsidRDefault="008B6CAA" w:rsidP="00534AA2"/>
    <w:p w:rsidR="00E362C7" w:rsidRPr="00534AA2" w:rsidRDefault="00C21314" w:rsidP="00534AA2">
      <w:r w:rsidRPr="00534AA2">
        <w:lastRenderedPageBreak/>
        <w:t xml:space="preserve">The </w:t>
      </w:r>
      <w:r w:rsidR="001453CE" w:rsidRPr="00534AA2">
        <w:t xml:space="preserve">table below shows a maturity analysis of the portfolio </w:t>
      </w:r>
      <w:r w:rsidR="00046E67" w:rsidRPr="00534AA2">
        <w:t>at 31</w:t>
      </w:r>
      <w:r w:rsidRPr="00534AA2">
        <w:t>st</w:t>
      </w:r>
      <w:r w:rsidR="00046E67" w:rsidRPr="00534AA2">
        <w:t xml:space="preserve"> March 201</w:t>
      </w:r>
      <w:r w:rsidR="00D20CA5" w:rsidRPr="00534AA2">
        <w:t>4</w:t>
      </w:r>
      <w:r w:rsidR="00046E67" w:rsidRPr="00534AA2">
        <w:t xml:space="preserve">, </w:t>
      </w:r>
      <w:r w:rsidR="001453CE" w:rsidRPr="00534AA2">
        <w:t xml:space="preserve">alongside the </w:t>
      </w:r>
      <w:r w:rsidR="00046E67" w:rsidRPr="00534AA2">
        <w:t xml:space="preserve">average </w:t>
      </w:r>
      <w:r w:rsidR="001453CE" w:rsidRPr="00534AA2">
        <w:t>interest rate</w:t>
      </w:r>
      <w:r w:rsidR="00046E67" w:rsidRPr="00534AA2">
        <w:t xml:space="preserve"> earned over the 201</w:t>
      </w:r>
      <w:r w:rsidR="00D20CA5" w:rsidRPr="00534AA2">
        <w:t>3</w:t>
      </w:r>
      <w:r w:rsidR="00D60FB3" w:rsidRPr="00534AA2">
        <w:t>/</w:t>
      </w:r>
      <w:r w:rsidR="00046E67" w:rsidRPr="00534AA2">
        <w:t>1</w:t>
      </w:r>
      <w:r w:rsidR="00D20CA5" w:rsidRPr="00534AA2">
        <w:t>4</w:t>
      </w:r>
      <w:r w:rsidR="00046E67" w:rsidRPr="00534AA2">
        <w:t xml:space="preserve"> financial year.</w:t>
      </w:r>
    </w:p>
    <w:p w:rsidR="001453CE" w:rsidRPr="00382002" w:rsidRDefault="001453CE" w:rsidP="00E362C7">
      <w:pPr>
        <w:ind w:right="-153"/>
        <w:rPr>
          <w:b/>
          <w:highlight w:val="yellow"/>
        </w:rPr>
      </w:pPr>
    </w:p>
    <w:tbl>
      <w:tblPr>
        <w:tblW w:w="9093" w:type="dxa"/>
        <w:tblInd w:w="87" w:type="dxa"/>
        <w:tblLook w:val="04A0" w:firstRow="1" w:lastRow="0" w:firstColumn="1" w:lastColumn="0" w:noHBand="0" w:noVBand="1"/>
      </w:tblPr>
      <w:tblGrid>
        <w:gridCol w:w="5294"/>
        <w:gridCol w:w="1859"/>
        <w:gridCol w:w="1940"/>
      </w:tblGrid>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D857E5" w:rsidP="00EC390E">
            <w:pPr>
              <w:rPr>
                <w:rFonts w:cs="Arial"/>
                <w:b/>
                <w:bCs/>
                <w:color w:val="000000"/>
                <w:sz w:val="20"/>
              </w:rPr>
            </w:pPr>
            <w:r w:rsidRPr="00033608">
              <w:rPr>
                <w:rFonts w:cs="Arial"/>
                <w:b/>
                <w:bCs/>
                <w:color w:val="000000"/>
                <w:sz w:val="20"/>
              </w:rPr>
              <w:t>Maturity Range</w:t>
            </w:r>
          </w:p>
        </w:tc>
        <w:tc>
          <w:tcPr>
            <w:tcW w:w="1859" w:type="dxa"/>
            <w:tcBorders>
              <w:top w:val="single" w:sz="8" w:space="0" w:color="000000"/>
              <w:left w:val="nil"/>
              <w:bottom w:val="single" w:sz="8" w:space="0" w:color="000000"/>
              <w:right w:val="nil"/>
            </w:tcBorders>
            <w:noWrap/>
            <w:hideMark/>
          </w:tcPr>
          <w:p w:rsidR="00D857E5" w:rsidRPr="00033608" w:rsidRDefault="00D857E5" w:rsidP="00EC390E">
            <w:pPr>
              <w:jc w:val="center"/>
              <w:rPr>
                <w:rFonts w:cs="Arial"/>
                <w:b/>
                <w:bCs/>
                <w:color w:val="000000"/>
                <w:sz w:val="20"/>
              </w:rPr>
            </w:pPr>
            <w:r w:rsidRPr="00033608">
              <w:rPr>
                <w:rFonts w:cs="Arial"/>
                <w:b/>
                <w:bCs/>
                <w:color w:val="000000"/>
                <w:sz w:val="20"/>
              </w:rPr>
              <w:t>Amount   £m</w:t>
            </w:r>
          </w:p>
        </w:tc>
        <w:tc>
          <w:tcPr>
            <w:tcW w:w="1940" w:type="dxa"/>
            <w:tcBorders>
              <w:top w:val="single" w:sz="8" w:space="0" w:color="auto"/>
              <w:left w:val="single" w:sz="8" w:space="0" w:color="auto"/>
              <w:bottom w:val="single" w:sz="8" w:space="0" w:color="000000"/>
              <w:right w:val="single" w:sz="8" w:space="0" w:color="auto"/>
            </w:tcBorders>
            <w:noWrap/>
            <w:hideMark/>
          </w:tcPr>
          <w:p w:rsidR="00D857E5" w:rsidRPr="00033608" w:rsidRDefault="00D857E5" w:rsidP="00EC390E">
            <w:pPr>
              <w:jc w:val="center"/>
              <w:rPr>
                <w:rFonts w:cs="Arial"/>
                <w:b/>
                <w:bCs/>
                <w:color w:val="000000"/>
                <w:sz w:val="20"/>
              </w:rPr>
            </w:pPr>
            <w:r w:rsidRPr="00033608">
              <w:rPr>
                <w:rFonts w:cs="Arial"/>
                <w:b/>
                <w:bCs/>
                <w:color w:val="000000"/>
                <w:sz w:val="20"/>
              </w:rPr>
              <w:t>Average Rate %</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D857E5" w:rsidP="00EC390E">
            <w:pPr>
              <w:rPr>
                <w:rFonts w:cs="Arial"/>
                <w:color w:val="000000"/>
                <w:sz w:val="20"/>
              </w:rPr>
            </w:pPr>
            <w:r w:rsidRPr="00033608">
              <w:rPr>
                <w:rFonts w:cs="Arial"/>
                <w:color w:val="000000"/>
                <w:sz w:val="20"/>
              </w:rPr>
              <w:t>Call, M</w:t>
            </w:r>
            <w:r w:rsidR="007333C9" w:rsidRPr="00033608">
              <w:rPr>
                <w:rFonts w:cs="Arial"/>
                <w:color w:val="000000"/>
                <w:sz w:val="20"/>
              </w:rPr>
              <w:t xml:space="preserve">oney </w:t>
            </w:r>
            <w:r w:rsidRPr="00033608">
              <w:rPr>
                <w:rFonts w:cs="Arial"/>
                <w:color w:val="000000"/>
                <w:sz w:val="20"/>
              </w:rPr>
              <w:t>M</w:t>
            </w:r>
            <w:r w:rsidR="007333C9" w:rsidRPr="00033608">
              <w:rPr>
                <w:rFonts w:cs="Arial"/>
                <w:color w:val="000000"/>
                <w:sz w:val="20"/>
              </w:rPr>
              <w:t xml:space="preserve">arket </w:t>
            </w:r>
            <w:r w:rsidRPr="00033608">
              <w:rPr>
                <w:rFonts w:cs="Arial"/>
                <w:color w:val="000000"/>
                <w:sz w:val="20"/>
              </w:rPr>
              <w:t>F</w:t>
            </w:r>
            <w:r w:rsidR="007333C9" w:rsidRPr="00033608">
              <w:rPr>
                <w:rFonts w:cs="Arial"/>
                <w:color w:val="000000"/>
                <w:sz w:val="20"/>
              </w:rPr>
              <w:t>unds</w:t>
            </w:r>
            <w:r w:rsidRPr="00033608">
              <w:rPr>
                <w:rFonts w:cs="Arial"/>
                <w:color w:val="000000"/>
                <w:sz w:val="20"/>
              </w:rPr>
              <w:t xml:space="preserve"> &amp; Under 1yr</w:t>
            </w:r>
          </w:p>
        </w:tc>
        <w:tc>
          <w:tcPr>
            <w:tcW w:w="1859" w:type="dxa"/>
            <w:tcBorders>
              <w:top w:val="single" w:sz="8" w:space="0" w:color="000000"/>
              <w:left w:val="nil"/>
              <w:bottom w:val="single" w:sz="8" w:space="0" w:color="000000"/>
              <w:right w:val="nil"/>
            </w:tcBorders>
            <w:noWrap/>
            <w:hideMark/>
          </w:tcPr>
          <w:p w:rsidR="00D857E5" w:rsidRPr="00033608" w:rsidRDefault="0064230A" w:rsidP="00EC390E">
            <w:pPr>
              <w:jc w:val="center"/>
              <w:rPr>
                <w:rFonts w:cs="Arial"/>
                <w:color w:val="000000"/>
                <w:sz w:val="20"/>
              </w:rPr>
            </w:pPr>
            <w:r w:rsidRPr="00033608">
              <w:rPr>
                <w:rFonts w:cs="Arial"/>
                <w:color w:val="000000"/>
                <w:sz w:val="20"/>
              </w:rPr>
              <w:t xml:space="preserve">  </w:t>
            </w:r>
            <w:r w:rsidR="00534AA2" w:rsidRPr="00033608">
              <w:rPr>
                <w:rFonts w:cs="Arial"/>
                <w:color w:val="000000"/>
                <w:sz w:val="20"/>
              </w:rPr>
              <w:t>77.75</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534AA2" w:rsidP="00EC390E">
            <w:pPr>
              <w:jc w:val="center"/>
              <w:rPr>
                <w:rFonts w:cs="Arial"/>
                <w:color w:val="000000"/>
                <w:sz w:val="20"/>
              </w:rPr>
            </w:pPr>
            <w:r w:rsidRPr="00033608">
              <w:rPr>
                <w:rFonts w:cs="Arial"/>
                <w:color w:val="000000"/>
                <w:sz w:val="20"/>
              </w:rPr>
              <w:t>1.23</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43457E" w:rsidP="00EC390E">
            <w:pPr>
              <w:rPr>
                <w:rFonts w:cs="Arial"/>
                <w:color w:val="000000"/>
                <w:sz w:val="20"/>
              </w:rPr>
            </w:pPr>
            <w:r w:rsidRPr="00033608">
              <w:rPr>
                <w:rFonts w:cs="Arial"/>
                <w:color w:val="000000"/>
                <w:sz w:val="20"/>
              </w:rPr>
              <w:t xml:space="preserve">Bank Deposit </w:t>
            </w:r>
            <w:r w:rsidR="00D857E5" w:rsidRPr="00033608">
              <w:rPr>
                <w:rFonts w:cs="Arial"/>
                <w:color w:val="000000"/>
                <w:sz w:val="20"/>
              </w:rPr>
              <w:t>1-2 Years</w:t>
            </w:r>
          </w:p>
        </w:tc>
        <w:tc>
          <w:tcPr>
            <w:tcW w:w="1859" w:type="dxa"/>
            <w:tcBorders>
              <w:top w:val="single" w:sz="8" w:space="0" w:color="000000"/>
              <w:left w:val="nil"/>
              <w:bottom w:val="single" w:sz="8" w:space="0" w:color="000000"/>
              <w:right w:val="nil"/>
            </w:tcBorders>
            <w:noWrap/>
            <w:hideMark/>
          </w:tcPr>
          <w:p w:rsidR="00D857E5" w:rsidRPr="00033608" w:rsidRDefault="0064230A" w:rsidP="00EC390E">
            <w:pPr>
              <w:jc w:val="center"/>
              <w:rPr>
                <w:rFonts w:cs="Arial"/>
                <w:color w:val="000000"/>
                <w:sz w:val="20"/>
              </w:rPr>
            </w:pPr>
            <w:r w:rsidRPr="00033608">
              <w:rPr>
                <w:rFonts w:cs="Arial"/>
                <w:color w:val="000000"/>
                <w:sz w:val="20"/>
              </w:rPr>
              <w:t xml:space="preserve">  </w:t>
            </w:r>
            <w:r w:rsidR="00534AA2" w:rsidRPr="00033608">
              <w:rPr>
                <w:rFonts w:cs="Arial"/>
                <w:color w:val="000000"/>
                <w:sz w:val="20"/>
              </w:rPr>
              <w:t>73.68</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0B7BEC" w:rsidP="00EC390E">
            <w:pPr>
              <w:jc w:val="center"/>
              <w:rPr>
                <w:rFonts w:cs="Arial"/>
                <w:color w:val="000000"/>
                <w:sz w:val="20"/>
              </w:rPr>
            </w:pPr>
            <w:r w:rsidRPr="00033608">
              <w:rPr>
                <w:rFonts w:cs="Arial"/>
                <w:color w:val="000000"/>
                <w:sz w:val="20"/>
              </w:rPr>
              <w:t>2.</w:t>
            </w:r>
            <w:r w:rsidR="00534AA2" w:rsidRPr="00033608">
              <w:rPr>
                <w:rFonts w:cs="Arial"/>
                <w:color w:val="000000"/>
                <w:sz w:val="20"/>
              </w:rPr>
              <w:t>98</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43457E" w:rsidP="00EC390E">
            <w:pPr>
              <w:rPr>
                <w:rFonts w:cs="Arial"/>
                <w:color w:val="000000"/>
                <w:sz w:val="20"/>
              </w:rPr>
            </w:pPr>
            <w:r w:rsidRPr="00033608">
              <w:rPr>
                <w:rFonts w:cs="Arial"/>
                <w:color w:val="000000"/>
                <w:sz w:val="20"/>
              </w:rPr>
              <w:t xml:space="preserve">Bank </w:t>
            </w:r>
            <w:r w:rsidR="00C83B85" w:rsidRPr="00033608">
              <w:rPr>
                <w:rFonts w:cs="Arial"/>
                <w:color w:val="000000"/>
                <w:sz w:val="20"/>
              </w:rPr>
              <w:t xml:space="preserve">and Local Authority </w:t>
            </w:r>
            <w:r w:rsidRPr="00033608">
              <w:rPr>
                <w:rFonts w:cs="Arial"/>
                <w:color w:val="000000"/>
                <w:sz w:val="20"/>
              </w:rPr>
              <w:t>Deposit</w:t>
            </w:r>
            <w:r w:rsidR="00C83B85" w:rsidRPr="00033608">
              <w:rPr>
                <w:rFonts w:cs="Arial"/>
                <w:color w:val="000000"/>
                <w:sz w:val="20"/>
              </w:rPr>
              <w:t>s</w:t>
            </w:r>
            <w:r w:rsidRPr="00033608">
              <w:rPr>
                <w:rFonts w:cs="Arial"/>
                <w:color w:val="000000"/>
                <w:sz w:val="20"/>
              </w:rPr>
              <w:t xml:space="preserve"> </w:t>
            </w:r>
            <w:r w:rsidR="00D857E5" w:rsidRPr="00033608">
              <w:rPr>
                <w:rFonts w:cs="Arial"/>
                <w:color w:val="000000"/>
                <w:sz w:val="20"/>
              </w:rPr>
              <w:t>2-3 Years</w:t>
            </w:r>
          </w:p>
        </w:tc>
        <w:tc>
          <w:tcPr>
            <w:tcW w:w="1859" w:type="dxa"/>
            <w:tcBorders>
              <w:top w:val="single" w:sz="8" w:space="0" w:color="000000"/>
              <w:left w:val="nil"/>
              <w:bottom w:val="single" w:sz="8" w:space="0" w:color="000000"/>
              <w:right w:val="nil"/>
            </w:tcBorders>
            <w:noWrap/>
            <w:hideMark/>
          </w:tcPr>
          <w:p w:rsidR="00D857E5" w:rsidRPr="00033608" w:rsidRDefault="0064230A" w:rsidP="00EC390E">
            <w:pPr>
              <w:jc w:val="center"/>
              <w:rPr>
                <w:rFonts w:cs="Arial"/>
                <w:color w:val="000000"/>
                <w:sz w:val="20"/>
              </w:rPr>
            </w:pPr>
            <w:r w:rsidRPr="00033608">
              <w:rPr>
                <w:rFonts w:cs="Arial"/>
                <w:color w:val="000000"/>
                <w:sz w:val="20"/>
              </w:rPr>
              <w:t xml:space="preserve">  </w:t>
            </w:r>
            <w:r w:rsidR="00534AA2" w:rsidRPr="00033608">
              <w:rPr>
                <w:rFonts w:cs="Arial"/>
                <w:color w:val="000000"/>
                <w:sz w:val="20"/>
              </w:rPr>
              <w:t>10.00</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534AA2" w:rsidP="00EC390E">
            <w:pPr>
              <w:jc w:val="center"/>
              <w:rPr>
                <w:rFonts w:cs="Arial"/>
                <w:color w:val="000000"/>
                <w:sz w:val="20"/>
              </w:rPr>
            </w:pPr>
            <w:r w:rsidRPr="00033608">
              <w:rPr>
                <w:rFonts w:cs="Arial"/>
                <w:color w:val="000000"/>
                <w:sz w:val="20"/>
              </w:rPr>
              <w:t>1.00</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43457E" w:rsidP="00EC390E">
            <w:pPr>
              <w:rPr>
                <w:rFonts w:cs="Arial"/>
                <w:color w:val="000000"/>
                <w:sz w:val="20"/>
              </w:rPr>
            </w:pPr>
            <w:r w:rsidRPr="00033608">
              <w:rPr>
                <w:rFonts w:cs="Arial"/>
                <w:color w:val="000000"/>
                <w:sz w:val="20"/>
              </w:rPr>
              <w:t xml:space="preserve">Bank </w:t>
            </w:r>
            <w:r w:rsidR="00C83B85" w:rsidRPr="00033608">
              <w:rPr>
                <w:rFonts w:cs="Arial"/>
                <w:color w:val="000000"/>
                <w:sz w:val="20"/>
              </w:rPr>
              <w:t xml:space="preserve">&amp; Local Authority </w:t>
            </w:r>
            <w:r w:rsidRPr="00033608">
              <w:rPr>
                <w:rFonts w:cs="Arial"/>
                <w:color w:val="000000"/>
                <w:sz w:val="20"/>
              </w:rPr>
              <w:t>Deposit</w:t>
            </w:r>
            <w:r w:rsidR="00C83B85" w:rsidRPr="00033608">
              <w:rPr>
                <w:rFonts w:cs="Arial"/>
                <w:color w:val="000000"/>
                <w:sz w:val="20"/>
              </w:rPr>
              <w:t>s</w:t>
            </w:r>
            <w:r w:rsidRPr="00033608">
              <w:rPr>
                <w:rFonts w:cs="Arial"/>
                <w:color w:val="000000"/>
                <w:sz w:val="20"/>
              </w:rPr>
              <w:t xml:space="preserve"> </w:t>
            </w:r>
            <w:r w:rsidR="00D857E5" w:rsidRPr="00033608">
              <w:rPr>
                <w:rFonts w:cs="Arial"/>
                <w:color w:val="000000"/>
                <w:sz w:val="20"/>
              </w:rPr>
              <w:t>3-5 Years</w:t>
            </w:r>
          </w:p>
        </w:tc>
        <w:tc>
          <w:tcPr>
            <w:tcW w:w="1859" w:type="dxa"/>
            <w:tcBorders>
              <w:top w:val="single" w:sz="8" w:space="0" w:color="000000"/>
              <w:left w:val="nil"/>
              <w:bottom w:val="single" w:sz="8" w:space="0" w:color="000000"/>
              <w:right w:val="nil"/>
            </w:tcBorders>
            <w:noWrap/>
            <w:hideMark/>
          </w:tcPr>
          <w:p w:rsidR="00D857E5" w:rsidRPr="00033608" w:rsidRDefault="0064230A" w:rsidP="00EC390E">
            <w:pPr>
              <w:jc w:val="center"/>
              <w:rPr>
                <w:rFonts w:cs="Arial"/>
                <w:color w:val="000000"/>
                <w:sz w:val="20"/>
              </w:rPr>
            </w:pPr>
            <w:r w:rsidRPr="00033608">
              <w:rPr>
                <w:rFonts w:cs="Arial"/>
                <w:color w:val="000000"/>
                <w:sz w:val="20"/>
              </w:rPr>
              <w:t xml:space="preserve">  </w:t>
            </w:r>
            <w:r w:rsidR="00534AA2" w:rsidRPr="00033608">
              <w:rPr>
                <w:rFonts w:cs="Arial"/>
                <w:color w:val="000000"/>
                <w:sz w:val="20"/>
              </w:rPr>
              <w:t>36.50</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534AA2" w:rsidP="00EC390E">
            <w:pPr>
              <w:jc w:val="center"/>
              <w:rPr>
                <w:rFonts w:cs="Arial"/>
                <w:color w:val="000000"/>
                <w:sz w:val="20"/>
              </w:rPr>
            </w:pPr>
            <w:r w:rsidRPr="00033608">
              <w:rPr>
                <w:rFonts w:cs="Arial"/>
                <w:color w:val="000000"/>
                <w:sz w:val="20"/>
              </w:rPr>
              <w:t>0.43</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43457E" w:rsidP="00EC390E">
            <w:pPr>
              <w:rPr>
                <w:rFonts w:cs="Arial"/>
                <w:color w:val="000000"/>
                <w:sz w:val="20"/>
              </w:rPr>
            </w:pPr>
            <w:r w:rsidRPr="00033608">
              <w:rPr>
                <w:rFonts w:cs="Arial"/>
                <w:color w:val="000000"/>
                <w:sz w:val="20"/>
              </w:rPr>
              <w:t xml:space="preserve">Bank Deposit </w:t>
            </w:r>
            <w:r w:rsidR="00D857E5" w:rsidRPr="00033608">
              <w:rPr>
                <w:rFonts w:cs="Arial"/>
                <w:color w:val="000000"/>
                <w:sz w:val="20"/>
              </w:rPr>
              <w:t>5 Years +</w:t>
            </w:r>
          </w:p>
        </w:tc>
        <w:tc>
          <w:tcPr>
            <w:tcW w:w="1859" w:type="dxa"/>
            <w:tcBorders>
              <w:top w:val="single" w:sz="8" w:space="0" w:color="000000"/>
              <w:left w:val="nil"/>
              <w:bottom w:val="single" w:sz="8" w:space="0" w:color="000000"/>
              <w:right w:val="nil"/>
            </w:tcBorders>
            <w:noWrap/>
            <w:hideMark/>
          </w:tcPr>
          <w:p w:rsidR="00D857E5" w:rsidRPr="00033608" w:rsidRDefault="002E087B" w:rsidP="00EC390E">
            <w:pPr>
              <w:jc w:val="center"/>
              <w:rPr>
                <w:rFonts w:cs="Arial"/>
                <w:color w:val="000000"/>
                <w:sz w:val="20"/>
              </w:rPr>
            </w:pPr>
            <w:r w:rsidRPr="00033608">
              <w:rPr>
                <w:rFonts w:cs="Arial"/>
                <w:color w:val="000000"/>
                <w:sz w:val="20"/>
              </w:rPr>
              <w:t>-</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2E087B" w:rsidP="00EC390E">
            <w:pPr>
              <w:jc w:val="center"/>
              <w:rPr>
                <w:rFonts w:cs="Arial"/>
                <w:color w:val="000000"/>
                <w:sz w:val="20"/>
              </w:rPr>
            </w:pPr>
            <w:r w:rsidRPr="00033608">
              <w:rPr>
                <w:rFonts w:cs="Arial"/>
                <w:color w:val="000000"/>
                <w:sz w:val="20"/>
              </w:rPr>
              <w:t>-</w:t>
            </w:r>
          </w:p>
        </w:tc>
      </w:tr>
      <w:tr w:rsidR="00D857E5"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D857E5" w:rsidRPr="00033608" w:rsidRDefault="00D857E5" w:rsidP="00EC390E">
            <w:pPr>
              <w:rPr>
                <w:rFonts w:cs="Arial"/>
                <w:color w:val="000000"/>
                <w:sz w:val="20"/>
              </w:rPr>
            </w:pPr>
            <w:r w:rsidRPr="00033608">
              <w:rPr>
                <w:rFonts w:cs="Arial"/>
                <w:color w:val="000000"/>
                <w:sz w:val="20"/>
              </w:rPr>
              <w:t>Local Authority Bonds</w:t>
            </w:r>
          </w:p>
        </w:tc>
        <w:tc>
          <w:tcPr>
            <w:tcW w:w="1859" w:type="dxa"/>
            <w:tcBorders>
              <w:top w:val="single" w:sz="8" w:space="0" w:color="000000"/>
              <w:left w:val="nil"/>
              <w:bottom w:val="single" w:sz="8" w:space="0" w:color="000000"/>
              <w:right w:val="nil"/>
            </w:tcBorders>
            <w:noWrap/>
            <w:hideMark/>
          </w:tcPr>
          <w:p w:rsidR="00D857E5" w:rsidRPr="00033608" w:rsidRDefault="0064230A" w:rsidP="000B7BEC">
            <w:pPr>
              <w:jc w:val="center"/>
              <w:rPr>
                <w:rFonts w:cs="Arial"/>
                <w:color w:val="000000"/>
                <w:sz w:val="20"/>
              </w:rPr>
            </w:pPr>
            <w:r w:rsidRPr="00033608">
              <w:rPr>
                <w:rFonts w:cs="Arial"/>
                <w:color w:val="000000"/>
                <w:sz w:val="20"/>
              </w:rPr>
              <w:t xml:space="preserve">  </w:t>
            </w:r>
            <w:r w:rsidR="0043457E" w:rsidRPr="00033608">
              <w:rPr>
                <w:rFonts w:cs="Arial"/>
                <w:color w:val="000000"/>
                <w:sz w:val="20"/>
              </w:rPr>
              <w:t>20.</w:t>
            </w:r>
            <w:r w:rsidR="00534AA2" w:rsidRPr="00033608">
              <w:rPr>
                <w:rFonts w:cs="Arial"/>
                <w:color w:val="000000"/>
                <w:sz w:val="20"/>
              </w:rPr>
              <w:t>31</w:t>
            </w:r>
          </w:p>
        </w:tc>
        <w:tc>
          <w:tcPr>
            <w:tcW w:w="1940" w:type="dxa"/>
            <w:tcBorders>
              <w:top w:val="single" w:sz="8" w:space="0" w:color="000000"/>
              <w:left w:val="single" w:sz="8" w:space="0" w:color="auto"/>
              <w:bottom w:val="single" w:sz="8" w:space="0" w:color="000000"/>
              <w:right w:val="single" w:sz="8" w:space="0" w:color="auto"/>
            </w:tcBorders>
            <w:noWrap/>
            <w:hideMark/>
          </w:tcPr>
          <w:p w:rsidR="00D857E5" w:rsidRPr="00033608" w:rsidRDefault="00534AA2" w:rsidP="00EC390E">
            <w:pPr>
              <w:jc w:val="center"/>
              <w:rPr>
                <w:rFonts w:cs="Arial"/>
                <w:color w:val="000000"/>
                <w:sz w:val="20"/>
              </w:rPr>
            </w:pPr>
            <w:r w:rsidRPr="00033608">
              <w:rPr>
                <w:rFonts w:cs="Arial"/>
                <w:color w:val="000000"/>
                <w:sz w:val="20"/>
              </w:rPr>
              <w:t>6.23</w:t>
            </w:r>
          </w:p>
        </w:tc>
      </w:tr>
      <w:tr w:rsidR="00F43F91"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F43F91" w:rsidRPr="00033608" w:rsidRDefault="00F43F91" w:rsidP="00EC390E">
            <w:pPr>
              <w:rPr>
                <w:rFonts w:cs="Arial"/>
                <w:color w:val="000000"/>
                <w:sz w:val="20"/>
              </w:rPr>
            </w:pPr>
            <w:r w:rsidRPr="00033608">
              <w:rPr>
                <w:rFonts w:cs="Arial"/>
                <w:color w:val="000000"/>
                <w:sz w:val="20"/>
              </w:rPr>
              <w:t>UK Government and Supranational Bonds</w:t>
            </w:r>
          </w:p>
        </w:tc>
        <w:tc>
          <w:tcPr>
            <w:tcW w:w="1859" w:type="dxa"/>
            <w:tcBorders>
              <w:top w:val="single" w:sz="8" w:space="0" w:color="000000"/>
              <w:left w:val="nil"/>
              <w:bottom w:val="single" w:sz="8" w:space="0" w:color="000000"/>
              <w:right w:val="nil"/>
            </w:tcBorders>
            <w:noWrap/>
            <w:hideMark/>
          </w:tcPr>
          <w:p w:rsidR="00F43F91" w:rsidRPr="00033608" w:rsidRDefault="00F43F91" w:rsidP="00F43F91">
            <w:pPr>
              <w:jc w:val="center"/>
              <w:rPr>
                <w:rFonts w:cs="Arial"/>
                <w:color w:val="000000"/>
                <w:sz w:val="20"/>
              </w:rPr>
            </w:pPr>
            <w:r w:rsidRPr="00033608">
              <w:rPr>
                <w:rFonts w:cs="Arial"/>
                <w:color w:val="000000"/>
                <w:sz w:val="20"/>
              </w:rPr>
              <w:t>368.83</w:t>
            </w:r>
          </w:p>
        </w:tc>
        <w:tc>
          <w:tcPr>
            <w:tcW w:w="1940" w:type="dxa"/>
            <w:tcBorders>
              <w:top w:val="single" w:sz="8" w:space="0" w:color="000000"/>
              <w:left w:val="single" w:sz="8" w:space="0" w:color="auto"/>
              <w:bottom w:val="single" w:sz="8" w:space="0" w:color="000000"/>
              <w:right w:val="single" w:sz="8" w:space="0" w:color="auto"/>
            </w:tcBorders>
            <w:noWrap/>
            <w:hideMark/>
          </w:tcPr>
          <w:p w:rsidR="00F43F91" w:rsidRPr="00033608" w:rsidRDefault="00F43F91" w:rsidP="0038479E">
            <w:pPr>
              <w:jc w:val="center"/>
              <w:rPr>
                <w:rFonts w:cs="Arial"/>
                <w:color w:val="000000"/>
                <w:sz w:val="20"/>
              </w:rPr>
            </w:pPr>
            <w:r w:rsidRPr="00033608">
              <w:rPr>
                <w:rFonts w:cs="Arial"/>
                <w:color w:val="000000"/>
                <w:sz w:val="20"/>
              </w:rPr>
              <w:t>2.75</w:t>
            </w:r>
          </w:p>
        </w:tc>
      </w:tr>
      <w:tr w:rsidR="00F43F91" w:rsidRPr="00382002" w:rsidTr="00B53944">
        <w:trPr>
          <w:trHeight w:val="334"/>
        </w:trPr>
        <w:tc>
          <w:tcPr>
            <w:tcW w:w="5294" w:type="dxa"/>
            <w:tcBorders>
              <w:top w:val="single" w:sz="8" w:space="0" w:color="000000"/>
              <w:left w:val="single" w:sz="8" w:space="0" w:color="000000"/>
              <w:bottom w:val="single" w:sz="8" w:space="0" w:color="000000"/>
              <w:right w:val="single" w:sz="8" w:space="0" w:color="000000"/>
            </w:tcBorders>
            <w:noWrap/>
            <w:hideMark/>
          </w:tcPr>
          <w:p w:rsidR="00F43F91" w:rsidRPr="00033608" w:rsidRDefault="00F43F91" w:rsidP="0043457E">
            <w:pPr>
              <w:rPr>
                <w:rFonts w:cs="Arial"/>
                <w:b/>
                <w:bCs/>
                <w:color w:val="000000"/>
                <w:sz w:val="20"/>
              </w:rPr>
            </w:pPr>
            <w:r w:rsidRPr="00033608">
              <w:rPr>
                <w:rFonts w:cs="Arial"/>
                <w:b/>
                <w:bCs/>
                <w:color w:val="000000"/>
                <w:sz w:val="20"/>
              </w:rPr>
              <w:t>Total</w:t>
            </w:r>
          </w:p>
        </w:tc>
        <w:tc>
          <w:tcPr>
            <w:tcW w:w="1859" w:type="dxa"/>
            <w:tcBorders>
              <w:top w:val="single" w:sz="8" w:space="0" w:color="000000"/>
              <w:left w:val="nil"/>
              <w:bottom w:val="single" w:sz="8" w:space="0" w:color="000000"/>
              <w:right w:val="nil"/>
            </w:tcBorders>
            <w:noWrap/>
            <w:hideMark/>
          </w:tcPr>
          <w:p w:rsidR="00F43F91" w:rsidRPr="00033608" w:rsidRDefault="00F43F91" w:rsidP="00F43F91">
            <w:pPr>
              <w:jc w:val="center"/>
              <w:rPr>
                <w:rFonts w:cs="Arial"/>
                <w:b/>
                <w:color w:val="000000"/>
                <w:sz w:val="20"/>
              </w:rPr>
            </w:pPr>
            <w:r w:rsidRPr="00033608">
              <w:rPr>
                <w:rFonts w:cs="Arial"/>
                <w:b/>
                <w:color w:val="000000"/>
                <w:sz w:val="20"/>
              </w:rPr>
              <w:t>587.07</w:t>
            </w:r>
          </w:p>
        </w:tc>
        <w:tc>
          <w:tcPr>
            <w:tcW w:w="1940" w:type="dxa"/>
            <w:tcBorders>
              <w:top w:val="single" w:sz="8" w:space="0" w:color="000000"/>
              <w:left w:val="single" w:sz="8" w:space="0" w:color="auto"/>
              <w:bottom w:val="single" w:sz="8" w:space="0" w:color="auto"/>
              <w:right w:val="single" w:sz="8" w:space="0" w:color="auto"/>
            </w:tcBorders>
            <w:noWrap/>
            <w:hideMark/>
          </w:tcPr>
          <w:p w:rsidR="00F43F91" w:rsidRPr="00033608" w:rsidRDefault="00F43F91" w:rsidP="0038479E">
            <w:pPr>
              <w:jc w:val="center"/>
              <w:rPr>
                <w:rFonts w:cs="Arial"/>
                <w:b/>
                <w:color w:val="000000"/>
                <w:sz w:val="20"/>
              </w:rPr>
            </w:pPr>
            <w:r w:rsidRPr="00033608">
              <w:rPr>
                <w:rFonts w:cs="Arial"/>
                <w:b/>
                <w:color w:val="000000"/>
                <w:sz w:val="20"/>
              </w:rPr>
              <w:t>2.56</w:t>
            </w:r>
          </w:p>
        </w:tc>
      </w:tr>
    </w:tbl>
    <w:p w:rsidR="00D857E5" w:rsidRDefault="00D857E5" w:rsidP="00E362C7">
      <w:pPr>
        <w:ind w:right="-153"/>
        <w:rPr>
          <w:b/>
          <w:highlight w:val="yellow"/>
        </w:rPr>
      </w:pPr>
    </w:p>
    <w:p w:rsidR="00962ABD" w:rsidRDefault="00962ABD" w:rsidP="00E362C7">
      <w:pPr>
        <w:ind w:right="-153"/>
        <w:rPr>
          <w:b/>
          <w:highlight w:val="yellow"/>
        </w:rPr>
      </w:pPr>
    </w:p>
    <w:p w:rsidR="003C00FC" w:rsidRDefault="003C00FC" w:rsidP="007D4999">
      <w:pPr>
        <w:ind w:right="-153"/>
        <w:rPr>
          <w:b/>
          <w:sz w:val="32"/>
          <w:szCs w:val="32"/>
          <w:highlight w:val="yellow"/>
        </w:rPr>
      </w:pPr>
    </w:p>
    <w:p w:rsidR="00104F85" w:rsidRDefault="00104F85" w:rsidP="007D4999">
      <w:pPr>
        <w:ind w:right="-153"/>
        <w:rPr>
          <w:b/>
          <w:sz w:val="32"/>
          <w:szCs w:val="32"/>
          <w:highlight w:val="yellow"/>
        </w:rPr>
      </w:pPr>
    </w:p>
    <w:p w:rsidR="00104F85" w:rsidRDefault="00104F85" w:rsidP="007D4999">
      <w:pPr>
        <w:ind w:right="-153"/>
        <w:rPr>
          <w:b/>
          <w:sz w:val="32"/>
          <w:szCs w:val="32"/>
        </w:rPr>
      </w:pPr>
    </w:p>
    <w:p w:rsidR="006E2470" w:rsidRPr="008B6CAA" w:rsidRDefault="006E2470" w:rsidP="007D4999">
      <w:pPr>
        <w:ind w:right="-153"/>
        <w:rPr>
          <w:b/>
          <w:sz w:val="32"/>
          <w:szCs w:val="32"/>
        </w:rPr>
      </w:pPr>
      <w:r w:rsidRPr="008B6CAA">
        <w:rPr>
          <w:b/>
          <w:sz w:val="32"/>
          <w:szCs w:val="32"/>
        </w:rPr>
        <w:t xml:space="preserve">Investments by Maturity </w:t>
      </w:r>
    </w:p>
    <w:p w:rsidR="006F7732" w:rsidRDefault="006F7732" w:rsidP="007D4999">
      <w:pPr>
        <w:ind w:right="-153"/>
        <w:rPr>
          <w:b/>
          <w:sz w:val="32"/>
          <w:szCs w:val="32"/>
          <w:highlight w:val="yellow"/>
        </w:rPr>
      </w:pPr>
    </w:p>
    <w:p w:rsidR="003C00FC" w:rsidRDefault="003C00FC" w:rsidP="007D4999">
      <w:pPr>
        <w:ind w:right="-153"/>
        <w:rPr>
          <w:b/>
          <w:sz w:val="32"/>
          <w:szCs w:val="32"/>
          <w:highlight w:val="yellow"/>
        </w:rPr>
      </w:pPr>
      <w:r>
        <w:rPr>
          <w:noProof/>
        </w:rPr>
        <w:lastRenderedPageBreak/>
        <w:drawing>
          <wp:inline distT="0" distB="0" distL="0" distR="0">
            <wp:extent cx="4585794" cy="2822027"/>
            <wp:effectExtent l="0" t="0" r="0" b="0"/>
            <wp:docPr id="82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3"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5085" cy="2827744"/>
                    </a:xfrm>
                    <a:prstGeom prst="rect">
                      <a:avLst/>
                    </a:prstGeom>
                    <a:noFill/>
                    <a:ln>
                      <a:noFill/>
                    </a:ln>
                    <a:effectLst/>
                    <a:extLst/>
                  </pic:spPr>
                </pic:pic>
              </a:graphicData>
            </a:graphic>
          </wp:inline>
        </w:drawing>
      </w:r>
    </w:p>
    <w:p w:rsidR="003C00FC" w:rsidRDefault="003C00FC" w:rsidP="007D4999">
      <w:pPr>
        <w:ind w:right="-153"/>
        <w:rPr>
          <w:b/>
          <w:sz w:val="32"/>
          <w:szCs w:val="32"/>
          <w:highlight w:val="yellow"/>
        </w:rPr>
      </w:pPr>
    </w:p>
    <w:p w:rsidR="006F2947" w:rsidRDefault="006F2947" w:rsidP="007D4999">
      <w:pPr>
        <w:ind w:right="-153"/>
        <w:rPr>
          <w:b/>
          <w:sz w:val="32"/>
          <w:szCs w:val="32"/>
        </w:rPr>
      </w:pPr>
    </w:p>
    <w:p w:rsidR="006F2947" w:rsidRDefault="006F2947" w:rsidP="007D4999">
      <w:pPr>
        <w:ind w:right="-153"/>
        <w:rPr>
          <w:b/>
          <w:sz w:val="32"/>
          <w:szCs w:val="32"/>
        </w:rPr>
      </w:pPr>
    </w:p>
    <w:p w:rsidR="006F2947" w:rsidRDefault="006F2947" w:rsidP="007D4999">
      <w:pPr>
        <w:ind w:right="-153"/>
        <w:rPr>
          <w:b/>
          <w:sz w:val="32"/>
          <w:szCs w:val="32"/>
        </w:rPr>
      </w:pPr>
    </w:p>
    <w:p w:rsidR="00C83B85" w:rsidRDefault="00C83B85"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AD2550" w:rsidRDefault="00AD2550" w:rsidP="007D4999">
      <w:pPr>
        <w:ind w:right="-153"/>
        <w:rPr>
          <w:b/>
          <w:sz w:val="32"/>
          <w:szCs w:val="32"/>
        </w:rPr>
      </w:pPr>
    </w:p>
    <w:p w:rsidR="00C83B85" w:rsidRDefault="00C83B85" w:rsidP="007D4999">
      <w:pPr>
        <w:ind w:right="-153"/>
        <w:rPr>
          <w:b/>
          <w:sz w:val="32"/>
          <w:szCs w:val="32"/>
        </w:rPr>
      </w:pPr>
    </w:p>
    <w:p w:rsidR="00C83B85" w:rsidRDefault="00C83B85" w:rsidP="007D4999">
      <w:pPr>
        <w:ind w:right="-153"/>
        <w:rPr>
          <w:b/>
          <w:sz w:val="32"/>
          <w:szCs w:val="32"/>
        </w:rPr>
      </w:pPr>
    </w:p>
    <w:p w:rsidR="00C83B85" w:rsidRDefault="00C83B85" w:rsidP="007D4999">
      <w:pPr>
        <w:ind w:right="-153"/>
        <w:rPr>
          <w:b/>
          <w:sz w:val="32"/>
          <w:szCs w:val="32"/>
        </w:rPr>
      </w:pPr>
    </w:p>
    <w:p w:rsidR="008B6CAA" w:rsidRDefault="006E2470" w:rsidP="007D4999">
      <w:pPr>
        <w:ind w:right="-153"/>
        <w:rPr>
          <w:b/>
          <w:sz w:val="32"/>
          <w:szCs w:val="32"/>
        </w:rPr>
      </w:pPr>
      <w:r w:rsidRPr="008B6CAA">
        <w:rPr>
          <w:b/>
          <w:sz w:val="32"/>
          <w:szCs w:val="32"/>
        </w:rPr>
        <w:lastRenderedPageBreak/>
        <w:t>Total investments analysed by asset type</w:t>
      </w:r>
    </w:p>
    <w:p w:rsidR="003C00FC" w:rsidRPr="008B6CAA" w:rsidRDefault="003C00FC" w:rsidP="007D4999">
      <w:pPr>
        <w:ind w:right="-153"/>
        <w:rPr>
          <w:b/>
          <w:sz w:val="32"/>
          <w:szCs w:val="32"/>
        </w:rPr>
      </w:pPr>
    </w:p>
    <w:p w:rsidR="003C00FC" w:rsidRDefault="006F7732" w:rsidP="007D4999">
      <w:pPr>
        <w:ind w:right="-153"/>
        <w:rPr>
          <w:b/>
          <w:sz w:val="32"/>
          <w:szCs w:val="32"/>
          <w:highlight w:val="yellow"/>
        </w:rPr>
      </w:pPr>
      <w:r w:rsidRPr="006F2947">
        <w:rPr>
          <w:b/>
          <w:noProof/>
          <w:sz w:val="32"/>
          <w:szCs w:val="32"/>
        </w:rPr>
        <w:drawing>
          <wp:inline distT="0" distB="0" distL="0" distR="0">
            <wp:extent cx="4099034" cy="3394793"/>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2"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034" cy="3394793"/>
                    </a:xfrm>
                    <a:prstGeom prst="rect">
                      <a:avLst/>
                    </a:prstGeom>
                    <a:noFill/>
                    <a:ln>
                      <a:noFill/>
                    </a:ln>
                    <a:effectLst/>
                    <a:extLst/>
                  </pic:spPr>
                </pic:pic>
              </a:graphicData>
            </a:graphic>
          </wp:inline>
        </w:drawing>
      </w:r>
    </w:p>
    <w:p w:rsidR="003C00FC" w:rsidRDefault="003C00FC" w:rsidP="007D4999">
      <w:pPr>
        <w:ind w:right="-153"/>
        <w:rPr>
          <w:b/>
          <w:sz w:val="32"/>
          <w:szCs w:val="32"/>
          <w:highlight w:val="yellow"/>
        </w:rPr>
      </w:pPr>
    </w:p>
    <w:p w:rsidR="003C00FC" w:rsidRDefault="003C00FC" w:rsidP="007D4999">
      <w:pPr>
        <w:ind w:right="-153"/>
        <w:rPr>
          <w:b/>
          <w:sz w:val="32"/>
          <w:szCs w:val="32"/>
          <w:highlight w:val="yellow"/>
        </w:rPr>
      </w:pPr>
    </w:p>
    <w:p w:rsidR="003C00FC" w:rsidRPr="008B6CAA" w:rsidRDefault="006E2470" w:rsidP="007D4999">
      <w:pPr>
        <w:ind w:right="-153"/>
        <w:rPr>
          <w:b/>
          <w:sz w:val="32"/>
          <w:szCs w:val="32"/>
        </w:rPr>
      </w:pPr>
      <w:r w:rsidRPr="008B6CAA">
        <w:rPr>
          <w:b/>
          <w:sz w:val="32"/>
          <w:szCs w:val="32"/>
        </w:rPr>
        <w:lastRenderedPageBreak/>
        <w:t>Total Investments analysed by credit rating</w:t>
      </w:r>
    </w:p>
    <w:p w:rsidR="008B6CAA" w:rsidRDefault="008B6CAA" w:rsidP="007D4999">
      <w:pPr>
        <w:ind w:right="-153"/>
        <w:rPr>
          <w:b/>
          <w:sz w:val="32"/>
          <w:szCs w:val="32"/>
          <w:highlight w:val="yellow"/>
        </w:rPr>
      </w:pPr>
    </w:p>
    <w:p w:rsidR="003C00FC" w:rsidRDefault="008B6CAA" w:rsidP="007D4999">
      <w:pPr>
        <w:ind w:right="-153"/>
        <w:rPr>
          <w:b/>
          <w:sz w:val="32"/>
          <w:szCs w:val="32"/>
          <w:highlight w:val="yellow"/>
        </w:rPr>
      </w:pPr>
      <w:r w:rsidRPr="001836E2">
        <w:rPr>
          <w:b/>
          <w:noProof/>
          <w:sz w:val="32"/>
          <w:szCs w:val="32"/>
          <w:highlight w:val="yellow"/>
          <w:shd w:val="clear" w:color="auto" w:fill="FFFFFF" w:themeFill="background1"/>
        </w:rPr>
        <w:drawing>
          <wp:inline distT="0" distB="0" distL="0" distR="0">
            <wp:extent cx="3228975" cy="3009900"/>
            <wp:effectExtent l="0" t="0" r="0" b="0"/>
            <wp:docPr id="12" name="Picture 9"/>
            <wp:cNvGraphicFramePr/>
            <a:graphic xmlns:a="http://schemas.openxmlformats.org/drawingml/2006/main">
              <a:graphicData uri="http://schemas.openxmlformats.org/drawingml/2006/picture">
                <pic:pic xmlns:pic="http://schemas.openxmlformats.org/drawingml/2006/picture">
                  <pic:nvPicPr>
                    <pic:cNvPr id="8211" name="Picture 3"/>
                    <pic:cNvPicPr>
                      <a:picLocks noChangeAspect="1" noChangeArrowheads="1"/>
                    </pic:cNvPicPr>
                  </pic:nvPicPr>
                  <pic:blipFill>
                    <a:blip r:embed="rId13" cstate="print"/>
                    <a:srcRect/>
                    <a:stretch>
                      <a:fillRect/>
                    </a:stretch>
                  </pic:blipFill>
                  <pic:spPr bwMode="auto">
                    <a:xfrm>
                      <a:off x="0" y="0"/>
                      <a:ext cx="3230415" cy="3011242"/>
                    </a:xfrm>
                    <a:prstGeom prst="rect">
                      <a:avLst/>
                    </a:prstGeom>
                    <a:noFill/>
                    <a:ln w="9525">
                      <a:noFill/>
                      <a:miter lim="800000"/>
                      <a:headEnd/>
                      <a:tailEnd/>
                    </a:ln>
                    <a:effectLst/>
                  </pic:spPr>
                </pic:pic>
              </a:graphicData>
            </a:graphic>
          </wp:inline>
        </w:drawing>
      </w:r>
    </w:p>
    <w:p w:rsidR="006F2947" w:rsidRDefault="006F2947" w:rsidP="007D4999">
      <w:pPr>
        <w:ind w:right="-153"/>
        <w:rPr>
          <w:b/>
          <w:sz w:val="32"/>
          <w:szCs w:val="32"/>
          <w:highlight w:val="yellow"/>
        </w:rPr>
      </w:pPr>
    </w:p>
    <w:p w:rsidR="006F2947" w:rsidRPr="006F2947" w:rsidRDefault="006F2947" w:rsidP="006F2947">
      <w:pPr>
        <w:autoSpaceDE w:val="0"/>
        <w:autoSpaceDN w:val="0"/>
        <w:adjustRightInd w:val="0"/>
        <w:rPr>
          <w:rFonts w:cs="Arial"/>
          <w:color w:val="000000"/>
          <w:szCs w:val="24"/>
        </w:rPr>
      </w:pPr>
      <w:r w:rsidRPr="006F2947">
        <w:rPr>
          <w:rFonts w:cs="Arial"/>
          <w:color w:val="000000"/>
          <w:szCs w:val="24"/>
        </w:rPr>
        <w:t>Investments are very secure, with 55% rated AAA or AA+,</w:t>
      </w:r>
      <w:r>
        <w:rPr>
          <w:rFonts w:cs="Arial"/>
          <w:color w:val="000000"/>
          <w:szCs w:val="24"/>
        </w:rPr>
        <w:t xml:space="preserve"> </w:t>
      </w:r>
      <w:r w:rsidRPr="006F2947">
        <w:rPr>
          <w:rFonts w:cs="Arial"/>
          <w:color w:val="000000"/>
          <w:szCs w:val="24"/>
        </w:rPr>
        <w:t>although £69m with RBS Group is rated below BBB+</w:t>
      </w:r>
      <w:r>
        <w:rPr>
          <w:rFonts w:cs="Arial"/>
          <w:color w:val="000000"/>
          <w:szCs w:val="24"/>
        </w:rPr>
        <w:t xml:space="preserve">. </w:t>
      </w:r>
      <w:r w:rsidRPr="006F2947">
        <w:rPr>
          <w:rFonts w:cs="Arial"/>
          <w:color w:val="000000"/>
          <w:szCs w:val="24"/>
        </w:rPr>
        <w:t>Average credit score of 2.82/AA is well within the limit of</w:t>
      </w:r>
    </w:p>
    <w:p w:rsidR="006F2947" w:rsidRDefault="006F2947" w:rsidP="006F2947">
      <w:pPr>
        <w:ind w:right="-153"/>
        <w:rPr>
          <w:rFonts w:cs="Arial"/>
          <w:color w:val="000000"/>
          <w:szCs w:val="24"/>
        </w:rPr>
      </w:pPr>
      <w:r w:rsidRPr="006F2947">
        <w:rPr>
          <w:rFonts w:cs="Arial"/>
          <w:color w:val="000000"/>
          <w:szCs w:val="24"/>
        </w:rPr>
        <w:lastRenderedPageBreak/>
        <w:t>5/A+</w:t>
      </w:r>
    </w:p>
    <w:p w:rsidR="006F2947" w:rsidRDefault="006F2947" w:rsidP="006F2947">
      <w:pPr>
        <w:ind w:right="-153"/>
        <w:rPr>
          <w:rFonts w:cs="Arial"/>
          <w:color w:val="000000"/>
          <w:szCs w:val="24"/>
        </w:rPr>
      </w:pPr>
    </w:p>
    <w:p w:rsidR="00962ABD" w:rsidRPr="006F7732" w:rsidRDefault="00962ABD" w:rsidP="00962ABD">
      <w:pPr>
        <w:spacing w:line="276" w:lineRule="auto"/>
        <w:jc w:val="both"/>
      </w:pPr>
      <w:r w:rsidRPr="006F7732">
        <w:t xml:space="preserve">Security of capital remained the </w:t>
      </w:r>
      <w:r w:rsidR="000F1A22" w:rsidRPr="006F7732">
        <w:t>Council</w:t>
      </w:r>
      <w:r w:rsidRPr="006F7732">
        <w:t xml:space="preserve">’s main investment objective.  This was maintained by following the </w:t>
      </w:r>
      <w:r w:rsidR="000F1A22" w:rsidRPr="006F7732">
        <w:t>Council</w:t>
      </w:r>
      <w:r w:rsidRPr="006F7732">
        <w:t>’s counterparty policy as set out in its Treasury Management Strategy Statement for 2013/14</w:t>
      </w:r>
      <w:r w:rsidR="006E2470" w:rsidRPr="006F7732">
        <w:t>. This</w:t>
      </w:r>
      <w:r w:rsidRPr="006F7732">
        <w:t xml:space="preserve"> defined “high credit quality” organisations as those having a </w:t>
      </w:r>
      <w:r w:rsidR="006E2470" w:rsidRPr="006F7732">
        <w:t xml:space="preserve">minimum </w:t>
      </w:r>
      <w:r w:rsidRPr="006F7732">
        <w:t>long-term credit rating of A</w:t>
      </w:r>
      <w:r w:rsidR="00E43B3E" w:rsidRPr="006F7732">
        <w:t>+ In practice the average credit rating in 2013/14 was higher at AA.</w:t>
      </w:r>
      <w:r w:rsidRPr="006F7732">
        <w:t xml:space="preserve">  </w:t>
      </w:r>
    </w:p>
    <w:p w:rsidR="00962ABD" w:rsidRPr="006F7732" w:rsidRDefault="00962ABD" w:rsidP="00962ABD">
      <w:pPr>
        <w:jc w:val="both"/>
      </w:pPr>
    </w:p>
    <w:p w:rsidR="00962ABD" w:rsidRPr="006F7732" w:rsidRDefault="00962ABD" w:rsidP="00962ABD">
      <w:pPr>
        <w:spacing w:line="276" w:lineRule="auto"/>
        <w:jc w:val="both"/>
      </w:pPr>
      <w:r w:rsidRPr="006F7732">
        <w:t xml:space="preserve">Investments with banks and building societies were primarily </w:t>
      </w:r>
      <w:r w:rsidR="002339EF" w:rsidRPr="006F7732">
        <w:t>call accounts</w:t>
      </w:r>
      <w:r w:rsidR="005207C6" w:rsidRPr="006F7732">
        <w:t>, money market funds</w:t>
      </w:r>
      <w:r w:rsidR="002339EF" w:rsidRPr="006F7732">
        <w:t xml:space="preserve"> and</w:t>
      </w:r>
      <w:r w:rsidRPr="006F7732">
        <w:t xml:space="preserve"> fixed-rate term deposits.  The </w:t>
      </w:r>
      <w:r w:rsidR="005B5F7A" w:rsidRPr="006F7732">
        <w:t>longest duration</w:t>
      </w:r>
      <w:r w:rsidRPr="006F7732">
        <w:t xml:space="preserve"> of </w:t>
      </w:r>
      <w:r w:rsidR="00E43B3E" w:rsidRPr="006F7732">
        <w:t xml:space="preserve">bank deposit currently carried by the County Council is 15 months. Any longer term deposits have been restricted to other local </w:t>
      </w:r>
      <w:r w:rsidR="005B5F7A" w:rsidRPr="006F7732">
        <w:t>authorities.</w:t>
      </w:r>
    </w:p>
    <w:p w:rsidR="00962ABD" w:rsidRPr="006F7732" w:rsidRDefault="00962ABD" w:rsidP="00962ABD">
      <w:pPr>
        <w:jc w:val="both"/>
      </w:pPr>
    </w:p>
    <w:p w:rsidR="00962ABD" w:rsidRPr="006F7732" w:rsidRDefault="00962ABD" w:rsidP="00962ABD">
      <w:pPr>
        <w:keepNext/>
        <w:widowControl w:val="0"/>
        <w:spacing w:after="120"/>
        <w:jc w:val="both"/>
        <w:rPr>
          <w:b/>
        </w:rPr>
      </w:pPr>
      <w:r w:rsidRPr="006F7732">
        <w:rPr>
          <w:b/>
        </w:rPr>
        <w:lastRenderedPageBreak/>
        <w:t>Credit developments and credit risk management</w:t>
      </w:r>
    </w:p>
    <w:p w:rsidR="00D91CCA" w:rsidRDefault="00962ABD" w:rsidP="00962ABD">
      <w:pPr>
        <w:spacing w:line="276" w:lineRule="auto"/>
        <w:jc w:val="both"/>
      </w:pPr>
      <w:r w:rsidRPr="006F7732">
        <w:t xml:space="preserve">The </w:t>
      </w:r>
      <w:r w:rsidR="000F1A22" w:rsidRPr="006F7732">
        <w:t>Council</w:t>
      </w:r>
      <w:r w:rsidRPr="006F7732">
        <w:t xml:space="preserve"> assessed and monitored counterparty credit quality with reference to credit ratings; credit default swaps; GDP of the country in which the institution </w:t>
      </w:r>
      <w:r w:rsidR="005B5F7A" w:rsidRPr="006F7732">
        <w:t>operates, the</w:t>
      </w:r>
      <w:r w:rsidRPr="006F7732">
        <w:t xml:space="preserve"> country’s net debt as a percentage of GDP and share price.  </w:t>
      </w:r>
    </w:p>
    <w:p w:rsidR="00D91CCA" w:rsidRDefault="00D91CCA" w:rsidP="00962ABD">
      <w:pPr>
        <w:spacing w:line="276" w:lineRule="auto"/>
        <w:jc w:val="both"/>
      </w:pPr>
    </w:p>
    <w:p w:rsidR="00962ABD" w:rsidRPr="005207C6" w:rsidRDefault="00962ABD" w:rsidP="00962ABD">
      <w:pPr>
        <w:spacing w:line="276" w:lineRule="auto"/>
        <w:jc w:val="both"/>
      </w:pPr>
      <w:r w:rsidRPr="006F7732">
        <w:t>The debt crisis in Cyprus was resolved by its government enforcing a ‘haircut’ on unsecured</w:t>
      </w:r>
      <w:r w:rsidRPr="005207C6">
        <w:t xml:space="preserve"> investments an</w:t>
      </w:r>
      <w:r w:rsidR="009F5952">
        <w:t xml:space="preserve">d bank deposits over €100,000. </w:t>
      </w:r>
      <w:r w:rsidRPr="005207C6">
        <w:t xml:space="preserve">This resolution mechanism, in stark contrast to the bail-outs during the 2008/2009 financial crisis, sent shockwaves through Europe but allowed banking regulators to progress reform which would in future force losses on investors through a ‘bail-in’ before taxpayers were asked to support failing banks.    </w:t>
      </w:r>
    </w:p>
    <w:p w:rsidR="00962ABD" w:rsidRDefault="00962ABD" w:rsidP="00962ABD">
      <w:pPr>
        <w:spacing w:line="276" w:lineRule="auto"/>
        <w:jc w:val="both"/>
        <w:rPr>
          <w:rFonts w:ascii="Trebuchet MS" w:hAnsi="Trebuchet MS"/>
          <w:sz w:val="20"/>
        </w:rPr>
      </w:pPr>
    </w:p>
    <w:p w:rsidR="00962ABD" w:rsidRPr="005207C6" w:rsidRDefault="00962ABD" w:rsidP="00962ABD">
      <w:pPr>
        <w:spacing w:line="276" w:lineRule="auto"/>
        <w:jc w:val="both"/>
      </w:pPr>
      <w:r w:rsidRPr="005207C6">
        <w:t xml:space="preserve">The Financial Services (Banking Reform) Act 2013 gained Royal Assent in December, legislating for the </w:t>
      </w:r>
      <w:r w:rsidRPr="005207C6">
        <w:lastRenderedPageBreak/>
        <w:t xml:space="preserve">separation of retail and investment banks and for the introduction of mandatory bail-in in the UK to wind up or restructure failing financial institutions. EU finance ministers agreed further steps towards banking union, and the Single Resolution Mechanism (SRM) for resolving problems with troubled large banks which will shift the burden of future restructurings/rescues to the institution’s shareholders, bondholders and unsecured investors. </w:t>
      </w:r>
    </w:p>
    <w:p w:rsidR="00962ABD" w:rsidRPr="005207C6" w:rsidRDefault="00962ABD" w:rsidP="00962ABD">
      <w:pPr>
        <w:spacing w:line="276" w:lineRule="auto"/>
        <w:jc w:val="both"/>
      </w:pPr>
    </w:p>
    <w:p w:rsidR="00962ABD" w:rsidRPr="005207C6" w:rsidRDefault="00962ABD" w:rsidP="00962ABD">
      <w:pPr>
        <w:spacing w:line="276" w:lineRule="auto"/>
        <w:jc w:val="both"/>
      </w:pPr>
      <w:r w:rsidRPr="005207C6">
        <w:t>Proposals were also announced for EU regulatory reforms to Money Market Funds which may result in these funds moving to a VNAV (variable net asset value) basis and losing their ‘triple-A’ credit rating wrapper in the future.</w:t>
      </w:r>
    </w:p>
    <w:p w:rsidR="00962ABD" w:rsidRPr="005207C6" w:rsidRDefault="00962ABD" w:rsidP="00962ABD">
      <w:pPr>
        <w:spacing w:line="276" w:lineRule="auto"/>
        <w:jc w:val="both"/>
      </w:pPr>
    </w:p>
    <w:p w:rsidR="00962ABD" w:rsidRPr="005207C6" w:rsidRDefault="00962ABD" w:rsidP="00962ABD">
      <w:pPr>
        <w:spacing w:line="276" w:lineRule="auto"/>
        <w:jc w:val="both"/>
      </w:pPr>
      <w:r w:rsidRPr="005207C6">
        <w:t>The material changes to UK banks’ creditworthiness were (a) the strong progress made by the Lloyds Bank</w:t>
      </w:r>
      <w:r w:rsidRPr="005207C6">
        <w:lastRenderedPageBreak/>
        <w:t>ing Group in strengthening its balance sheet, profitability and funding positions and the government reducing its shareholding in the Group to under 25%, (b) the announcement by Royal Bank of Scotland of the creation of an internal bad bank to house its riskiest assets (this amounted to a material extension of RBS’ long-running restructuring, further delaying the bank’s return to profitability) and (c) substantial losses at Co</w:t>
      </w:r>
      <w:r w:rsidRPr="005207C6">
        <w:noBreakHyphen/>
        <w:t xml:space="preserve">op Bank which forced the bank to undertake a liability management exercise to raise further capital and a debt restructure which entailed junior bondholders being bailed-in as part of the restructuring.  </w:t>
      </w:r>
    </w:p>
    <w:p w:rsidR="00962ABD" w:rsidRDefault="00962ABD" w:rsidP="00962ABD">
      <w:pPr>
        <w:spacing w:line="276" w:lineRule="auto"/>
        <w:jc w:val="both"/>
        <w:rPr>
          <w:rFonts w:ascii="Trebuchet MS" w:hAnsi="Trebuchet MS"/>
          <w:sz w:val="20"/>
        </w:rPr>
      </w:pPr>
    </w:p>
    <w:p w:rsidR="00962ABD" w:rsidRPr="006F7732" w:rsidRDefault="00962ABD" w:rsidP="00962ABD">
      <w:pPr>
        <w:autoSpaceDE w:val="0"/>
        <w:autoSpaceDN w:val="0"/>
        <w:adjustRightInd w:val="0"/>
        <w:spacing w:line="260" w:lineRule="atLeast"/>
        <w:jc w:val="both"/>
      </w:pPr>
      <w:r w:rsidRPr="005207C6">
        <w:t>In July Moody’s placed the A3 long-term ratings of Royal Bank of Scotland and NatWest Bank and the D+ standalone financial strength rating of RBS on review for downgrade amid concerns about the impact of any potential breakup of the bank on creditors. As a prec</w:t>
      </w:r>
      <w:r w:rsidR="00D91CCA">
        <w:t xml:space="preserve">autionary measure the Council </w:t>
      </w:r>
      <w:r w:rsidRPr="005207C6">
        <w:t xml:space="preserve">reduced its duration to overnight for new </w:t>
      </w:r>
      <w:r w:rsidRPr="006F7732">
        <w:t xml:space="preserve">investments with the bank(s). In </w:t>
      </w:r>
      <w:r w:rsidRPr="006F7732">
        <w:lastRenderedPageBreak/>
        <w:t xml:space="preserve">March Moody’s downgraded the long-term ratings of both banks to Baa1. As this rating is below the </w:t>
      </w:r>
      <w:r w:rsidR="000F1A22" w:rsidRPr="006F7732">
        <w:t>Council</w:t>
      </w:r>
      <w:r w:rsidRPr="006F7732">
        <w:t xml:space="preserve">’s minimum credit criterion the banks were withdrawn from the counterparty list for further investment.  </w:t>
      </w:r>
      <w:r w:rsidR="005207C6" w:rsidRPr="006F7732">
        <w:t>NatWest</w:t>
      </w:r>
      <w:r w:rsidRPr="006F7732">
        <w:t xml:space="preserve"> is the Authority’s banker and will continue to be used for operational and liquidity purposes.</w:t>
      </w:r>
    </w:p>
    <w:p w:rsidR="00962ABD" w:rsidRPr="006F7732" w:rsidRDefault="00962ABD" w:rsidP="00962ABD">
      <w:pPr>
        <w:spacing w:line="276" w:lineRule="auto"/>
        <w:jc w:val="both"/>
      </w:pPr>
    </w:p>
    <w:p w:rsidR="00952442" w:rsidRPr="006F7732" w:rsidRDefault="00222490" w:rsidP="00962ABD">
      <w:pPr>
        <w:autoSpaceDE w:val="0"/>
        <w:autoSpaceDN w:val="0"/>
        <w:adjustRightInd w:val="0"/>
        <w:spacing w:line="260" w:lineRule="atLeast"/>
        <w:jc w:val="both"/>
        <w:rPr>
          <w:rFonts w:cs="Arial"/>
          <w:b/>
          <w:color w:val="000000"/>
          <w:szCs w:val="24"/>
        </w:rPr>
      </w:pPr>
      <w:r w:rsidRPr="006F7732">
        <w:rPr>
          <w:rFonts w:cs="Arial"/>
          <w:b/>
          <w:color w:val="000000"/>
          <w:szCs w:val="24"/>
        </w:rPr>
        <w:t>Credit risk Analysis</w:t>
      </w:r>
    </w:p>
    <w:p w:rsidR="00222490" w:rsidRPr="006F7732" w:rsidRDefault="00222490" w:rsidP="00962ABD">
      <w:pPr>
        <w:autoSpaceDE w:val="0"/>
        <w:autoSpaceDN w:val="0"/>
        <w:adjustRightInd w:val="0"/>
        <w:spacing w:line="260" w:lineRule="atLeast"/>
        <w:jc w:val="both"/>
        <w:rPr>
          <w:rFonts w:ascii="Trebuchet MS" w:hAnsi="Trebuchet MS"/>
          <w:color w:val="000000"/>
          <w:sz w:val="20"/>
        </w:rPr>
      </w:pPr>
    </w:p>
    <w:p w:rsidR="00952442" w:rsidRPr="006F7732" w:rsidRDefault="00944842" w:rsidP="00962ABD">
      <w:pPr>
        <w:autoSpaceDE w:val="0"/>
        <w:autoSpaceDN w:val="0"/>
        <w:adjustRightInd w:val="0"/>
        <w:spacing w:line="260" w:lineRule="atLeast"/>
        <w:jc w:val="both"/>
      </w:pPr>
      <w:r>
        <w:t>The Appendices show Arlingclose's quarterly credit risk benchmarking of their</w:t>
      </w:r>
      <w:r w:rsidR="00340827">
        <w:t xml:space="preserve"> clients. The </w:t>
      </w:r>
      <w:r>
        <w:t xml:space="preserve">graphs show that </w:t>
      </w:r>
      <w:r w:rsidR="005B5F7A">
        <w:t xml:space="preserve">LCC is in line with </w:t>
      </w:r>
      <w:r w:rsidR="00C1047E">
        <w:t>its'</w:t>
      </w:r>
      <w:r w:rsidR="00340827">
        <w:t xml:space="preserve"> strategy </w:t>
      </w:r>
      <w:r w:rsidR="00D64066">
        <w:t xml:space="preserve">of </w:t>
      </w:r>
      <w:r w:rsidR="00340827">
        <w:t xml:space="preserve">low credit risk </w:t>
      </w:r>
      <w:r w:rsidR="00D64066">
        <w:t>and high investment return.</w:t>
      </w:r>
      <w:r w:rsidR="00340827">
        <w:t xml:space="preserve">  They also show that LCC compare favourably to other organisations.</w:t>
      </w:r>
    </w:p>
    <w:p w:rsidR="00962ABD" w:rsidRPr="006F7732" w:rsidRDefault="00962ABD" w:rsidP="00962ABD">
      <w:pPr>
        <w:autoSpaceDE w:val="0"/>
        <w:autoSpaceDN w:val="0"/>
        <w:adjustRightInd w:val="0"/>
        <w:spacing w:line="260" w:lineRule="atLeast"/>
        <w:jc w:val="both"/>
        <w:rPr>
          <w:rFonts w:ascii="Trebuchet MS" w:hAnsi="Trebuchet MS"/>
          <w:sz w:val="20"/>
        </w:rPr>
      </w:pPr>
    </w:p>
    <w:p w:rsidR="00962ABD" w:rsidRPr="006F7732" w:rsidRDefault="00962ABD" w:rsidP="00E362C7">
      <w:pPr>
        <w:ind w:right="-153"/>
        <w:rPr>
          <w:b/>
        </w:rPr>
      </w:pPr>
    </w:p>
    <w:p w:rsidR="00962ABD" w:rsidRPr="006F7732" w:rsidRDefault="00962ABD" w:rsidP="00962ABD">
      <w:pPr>
        <w:keepNext/>
        <w:widowControl w:val="0"/>
        <w:spacing w:after="120"/>
        <w:jc w:val="both"/>
        <w:rPr>
          <w:b/>
        </w:rPr>
      </w:pPr>
      <w:r w:rsidRPr="006F7732">
        <w:rPr>
          <w:b/>
        </w:rPr>
        <w:t>Liquidity Management</w:t>
      </w:r>
    </w:p>
    <w:p w:rsidR="00222490" w:rsidRDefault="00962ABD" w:rsidP="00222490">
      <w:pPr>
        <w:autoSpaceDE w:val="0"/>
        <w:autoSpaceDN w:val="0"/>
        <w:adjustRightInd w:val="0"/>
        <w:rPr>
          <w:rFonts w:ascii="TrebuchetMS" w:hAnsi="TrebuchetMS" w:cs="TrebuchetMS"/>
          <w:szCs w:val="24"/>
        </w:rPr>
      </w:pPr>
      <w:r w:rsidRPr="005455A5">
        <w:t>In keeping with the CLG’s</w:t>
      </w:r>
      <w:r w:rsidR="005207C6" w:rsidRPr="005455A5">
        <w:t xml:space="preserve"> </w:t>
      </w:r>
      <w:r w:rsidRPr="005455A5">
        <w:t xml:space="preserve">Guidance on Investments, the </w:t>
      </w:r>
      <w:r w:rsidR="000F1A22" w:rsidRPr="005455A5">
        <w:t>Council</w:t>
      </w:r>
      <w:r w:rsidRPr="005455A5">
        <w:t xml:space="preserve"> maintained a </w:t>
      </w:r>
      <w:r w:rsidR="005207C6" w:rsidRPr="005455A5">
        <w:t>minimum</w:t>
      </w:r>
      <w:r w:rsidRPr="005455A5">
        <w:t xml:space="preserve"> level of </w:t>
      </w:r>
      <w:r w:rsidR="001E643C" w:rsidRPr="005455A5">
        <w:t xml:space="preserve">primary </w:t>
      </w:r>
      <w:r w:rsidRPr="005455A5">
        <w:t xml:space="preserve">liquidity </w:t>
      </w:r>
      <w:r w:rsidR="005207C6" w:rsidRPr="005455A5">
        <w:t>of £20.0m</w:t>
      </w:r>
      <w:r w:rsidRPr="005455A5">
        <w:t xml:space="preserve"> through the use of Money Market Funds</w:t>
      </w:r>
      <w:r w:rsidR="005207C6" w:rsidRPr="005455A5">
        <w:t xml:space="preserve"> and Call </w:t>
      </w:r>
      <w:r w:rsidR="000F1A22" w:rsidRPr="005455A5">
        <w:t>Accounts. The</w:t>
      </w:r>
      <w:r w:rsidR="00222490" w:rsidRPr="005455A5">
        <w:t xml:space="preserve"> </w:t>
      </w:r>
      <w:r w:rsidR="000F1A22" w:rsidRPr="005455A5">
        <w:t>Council</w:t>
      </w:r>
      <w:r w:rsidR="00222490" w:rsidRPr="005455A5">
        <w:t xml:space="preserve"> also has</w:t>
      </w:r>
      <w:r w:rsidR="001E643C" w:rsidRPr="005455A5">
        <w:rPr>
          <w:rFonts w:ascii="TrebuchetMS" w:hAnsi="TrebuchetMS" w:cs="TrebuchetMS"/>
          <w:szCs w:val="24"/>
        </w:rPr>
        <w:t xml:space="preserve"> </w:t>
      </w:r>
      <w:r w:rsidR="001E643C" w:rsidRPr="005455A5">
        <w:rPr>
          <w:rFonts w:ascii="TrebuchetMS" w:hAnsi="TrebuchetMS" w:cs="TrebuchetMS"/>
          <w:szCs w:val="24"/>
        </w:rPr>
        <w:lastRenderedPageBreak/>
        <w:t>£</w:t>
      </w:r>
      <w:r w:rsidR="0042486C" w:rsidRPr="005455A5">
        <w:rPr>
          <w:rFonts w:ascii="TrebuchetMS" w:hAnsi="TrebuchetMS" w:cs="TrebuchetMS"/>
          <w:szCs w:val="24"/>
        </w:rPr>
        <w:t>3</w:t>
      </w:r>
      <w:r w:rsidR="00F43F91" w:rsidRPr="005455A5">
        <w:rPr>
          <w:rFonts w:ascii="TrebuchetMS" w:hAnsi="TrebuchetMS" w:cs="TrebuchetMS"/>
          <w:szCs w:val="24"/>
        </w:rPr>
        <w:t>68</w:t>
      </w:r>
      <w:r w:rsidR="001E643C" w:rsidRPr="005455A5">
        <w:rPr>
          <w:rFonts w:ascii="TrebuchetMS" w:hAnsi="TrebuchetMS" w:cs="TrebuchetMS"/>
          <w:szCs w:val="24"/>
        </w:rPr>
        <w:t>m bond portfolio</w:t>
      </w:r>
      <w:r w:rsidR="00A457F8" w:rsidRPr="005455A5">
        <w:rPr>
          <w:rFonts w:ascii="TrebuchetMS" w:hAnsi="TrebuchetMS" w:cs="TrebuchetMS"/>
          <w:szCs w:val="24"/>
        </w:rPr>
        <w:t xml:space="preserve"> which</w:t>
      </w:r>
      <w:r w:rsidR="001E643C" w:rsidRPr="005455A5">
        <w:rPr>
          <w:rFonts w:ascii="TrebuchetMS" w:hAnsi="TrebuchetMS" w:cs="TrebuchetMS"/>
          <w:szCs w:val="24"/>
        </w:rPr>
        <w:t xml:space="preserve"> is available for sale, at </w:t>
      </w:r>
      <w:r w:rsidR="00222490" w:rsidRPr="005455A5">
        <w:rPr>
          <w:rFonts w:ascii="TrebuchetMS" w:hAnsi="TrebuchetMS" w:cs="TrebuchetMS"/>
          <w:szCs w:val="24"/>
        </w:rPr>
        <w:t>current market</w:t>
      </w:r>
      <w:r w:rsidR="001E643C" w:rsidRPr="005455A5">
        <w:rPr>
          <w:rFonts w:ascii="TrebuchetMS" w:hAnsi="TrebuchetMS" w:cs="TrebuchetMS"/>
          <w:szCs w:val="24"/>
        </w:rPr>
        <w:t xml:space="preserve"> pric</w:t>
      </w:r>
      <w:r w:rsidR="000F1A22" w:rsidRPr="005455A5">
        <w:rPr>
          <w:rFonts w:ascii="TrebuchetMS" w:hAnsi="TrebuchetMS" w:cs="TrebuchetMS"/>
          <w:szCs w:val="24"/>
        </w:rPr>
        <w:t>es</w:t>
      </w:r>
      <w:r w:rsidR="001E643C" w:rsidRPr="005455A5">
        <w:rPr>
          <w:rFonts w:ascii="TrebuchetMS" w:hAnsi="TrebuchetMS" w:cs="TrebuchetMS"/>
          <w:szCs w:val="24"/>
        </w:rPr>
        <w:t>, if needed as “secondary” liquidity</w:t>
      </w:r>
      <w:r w:rsidR="00222490" w:rsidRPr="005455A5">
        <w:rPr>
          <w:rFonts w:ascii="TrebuchetMS" w:hAnsi="TrebuchetMS" w:cs="TrebuchetMS"/>
          <w:szCs w:val="24"/>
        </w:rPr>
        <w:t>.</w:t>
      </w:r>
    </w:p>
    <w:p w:rsidR="00222490" w:rsidRDefault="00222490" w:rsidP="00222490">
      <w:pPr>
        <w:autoSpaceDE w:val="0"/>
        <w:autoSpaceDN w:val="0"/>
        <w:adjustRightInd w:val="0"/>
        <w:rPr>
          <w:rFonts w:ascii="TrebuchetMS" w:hAnsi="TrebuchetMS" w:cs="TrebuchetMS"/>
          <w:szCs w:val="24"/>
        </w:rPr>
      </w:pPr>
    </w:p>
    <w:p w:rsidR="00962ABD" w:rsidRDefault="00962ABD" w:rsidP="00222490">
      <w:pPr>
        <w:autoSpaceDE w:val="0"/>
        <w:autoSpaceDN w:val="0"/>
        <w:adjustRightInd w:val="0"/>
      </w:pPr>
      <w:r w:rsidRPr="005207C6">
        <w:t xml:space="preserve"> The </w:t>
      </w:r>
      <w:r w:rsidR="000F1A22">
        <w:t>Council uses</w:t>
      </w:r>
      <w:r w:rsidRPr="005207C6">
        <w:t xml:space="preserve"> purpose-built cash flow forecasting </w:t>
      </w:r>
      <w:r w:rsidR="005207C6" w:rsidRPr="005207C6">
        <w:t>spreadsheets</w:t>
      </w:r>
      <w:r w:rsidRPr="005207C6">
        <w:t xml:space="preserve"> to determine the maximum period for which funds may prudently be committed. </w:t>
      </w:r>
    </w:p>
    <w:p w:rsidR="001E643C" w:rsidRPr="005207C6" w:rsidRDefault="001E643C" w:rsidP="00962ABD">
      <w:pPr>
        <w:keepNext/>
        <w:widowControl w:val="0"/>
        <w:spacing w:line="276" w:lineRule="auto"/>
        <w:jc w:val="both"/>
      </w:pPr>
    </w:p>
    <w:p w:rsidR="00962ABD" w:rsidRPr="00F25A00" w:rsidRDefault="00962ABD" w:rsidP="00962ABD">
      <w:pPr>
        <w:jc w:val="both"/>
        <w:rPr>
          <w:rFonts w:ascii="Trebuchet MS" w:hAnsi="Trebuchet MS" w:cs="Trebuchet MS"/>
          <w:sz w:val="20"/>
        </w:rPr>
      </w:pPr>
    </w:p>
    <w:p w:rsidR="00962ABD" w:rsidRPr="0049076A" w:rsidRDefault="00962ABD" w:rsidP="00962ABD">
      <w:pPr>
        <w:keepNext/>
        <w:widowControl w:val="0"/>
        <w:spacing w:after="120"/>
        <w:jc w:val="both"/>
        <w:rPr>
          <w:b/>
        </w:rPr>
      </w:pPr>
      <w:r w:rsidRPr="0049076A">
        <w:rPr>
          <w:b/>
        </w:rPr>
        <w:t xml:space="preserve">Yield </w:t>
      </w:r>
    </w:p>
    <w:p w:rsidR="00962ABD" w:rsidRPr="002A0A28" w:rsidRDefault="00962ABD" w:rsidP="00962ABD">
      <w:pPr>
        <w:spacing w:line="276" w:lineRule="auto"/>
        <w:jc w:val="both"/>
      </w:pPr>
      <w:r w:rsidRPr="002A0A28">
        <w:t>The UK Bank Rate was maintained at 0.5% through the year.  Short term money market rates also remained at very low levels which continued to have a significant impact on investment income.  The average 3-month LIBID rate during 2013/14 was 0.45%, the 6-month LIBID rate averaged 0.53% and the 1</w:t>
      </w:r>
      <w:r w:rsidRPr="002A0A28">
        <w:noBreakHyphen/>
        <w:t xml:space="preserve">year LIBID rate averaged 0.78%.  The low rates of return on the Authority’s short-dated money market investments reflect prevailing market conditions and the Authority’s objective of optimising returns commensurate with the principles of security and liquidity. </w:t>
      </w:r>
    </w:p>
    <w:p w:rsidR="00962ABD" w:rsidRDefault="00962ABD" w:rsidP="00962ABD">
      <w:pPr>
        <w:jc w:val="both"/>
        <w:rPr>
          <w:rFonts w:ascii="Trebuchet MS" w:hAnsi="Trebuchet MS" w:cs="Trebuchet MS"/>
          <w:sz w:val="20"/>
        </w:rPr>
      </w:pPr>
    </w:p>
    <w:p w:rsidR="00962ABD" w:rsidRPr="006F7732" w:rsidRDefault="00962ABD" w:rsidP="00962ABD">
      <w:pPr>
        <w:spacing w:line="276" w:lineRule="auto"/>
        <w:jc w:val="both"/>
        <w:rPr>
          <w:rFonts w:cs="Trebuchet MS"/>
        </w:rPr>
      </w:pPr>
      <w:r w:rsidRPr="006F7732">
        <w:rPr>
          <w:rFonts w:cs="Trebuchet MS"/>
        </w:rPr>
        <w:t>Income earned o</w:t>
      </w:r>
      <w:r w:rsidR="0042486C" w:rsidRPr="006F7732">
        <w:rPr>
          <w:rFonts w:cs="Trebuchet MS"/>
        </w:rPr>
        <w:t>f</w:t>
      </w:r>
      <w:r w:rsidRPr="006F7732">
        <w:rPr>
          <w:rFonts w:cs="Trebuchet MS"/>
        </w:rPr>
        <w:t xml:space="preserve"> </w:t>
      </w:r>
      <w:r w:rsidR="007D4999" w:rsidRPr="006F7732">
        <w:t>£</w:t>
      </w:r>
      <w:r w:rsidR="00D76CF6" w:rsidRPr="006F7732">
        <w:t>16.2m</w:t>
      </w:r>
      <w:r w:rsidRPr="006F7732">
        <w:rPr>
          <w:rFonts w:cs="Trebuchet MS"/>
        </w:rPr>
        <w:t xml:space="preserve"> </w:t>
      </w:r>
      <w:r w:rsidR="0042486C" w:rsidRPr="006F7732">
        <w:rPr>
          <w:rFonts w:cs="Trebuchet MS"/>
        </w:rPr>
        <w:t xml:space="preserve">on </w:t>
      </w:r>
      <w:r w:rsidRPr="006F7732">
        <w:rPr>
          <w:rFonts w:cs="Trebuchet MS"/>
        </w:rPr>
        <w:t xml:space="preserve">longer-dated investments made in </w:t>
      </w:r>
      <w:r w:rsidR="007D4999" w:rsidRPr="006F7732">
        <w:t>2013/14</w:t>
      </w:r>
      <w:r w:rsidR="0042486C" w:rsidRPr="006F7732">
        <w:t>,</w:t>
      </w:r>
      <w:r w:rsidRPr="006F7732">
        <w:rPr>
          <w:rFonts w:cs="Trebuchet MS"/>
        </w:rPr>
        <w:t xml:space="preserve"> an average rate of </w:t>
      </w:r>
      <w:r w:rsidR="007D4999" w:rsidRPr="006F7732">
        <w:t>2.</w:t>
      </w:r>
      <w:r w:rsidR="00D76CF6" w:rsidRPr="006F7732">
        <w:t>68</w:t>
      </w:r>
      <w:r w:rsidRPr="006F7732">
        <w:t>%</w:t>
      </w:r>
      <w:r w:rsidR="0042486C" w:rsidRPr="006F7732">
        <w:t>,</w:t>
      </w:r>
      <w:r w:rsidRPr="006F7732">
        <w:rPr>
          <w:rFonts w:cs="Trebuchet MS"/>
        </w:rPr>
        <w:t xml:space="preserve"> </w:t>
      </w:r>
      <w:r w:rsidR="0042486C" w:rsidRPr="006F7732">
        <w:rPr>
          <w:rFonts w:cs="Trebuchet MS"/>
        </w:rPr>
        <w:t xml:space="preserve">providing </w:t>
      </w:r>
      <w:r w:rsidRPr="006F7732">
        <w:rPr>
          <w:rFonts w:cs="Trebuchet MS"/>
        </w:rPr>
        <w:t xml:space="preserve">some cushion against the low interest rate environment.   </w:t>
      </w:r>
    </w:p>
    <w:p w:rsidR="00962ABD" w:rsidRDefault="00962ABD" w:rsidP="00962ABD">
      <w:pPr>
        <w:spacing w:line="276" w:lineRule="auto"/>
        <w:jc w:val="both"/>
        <w:rPr>
          <w:highlight w:val="yellow"/>
        </w:rPr>
      </w:pPr>
      <w:r w:rsidRPr="00C920DC">
        <w:rPr>
          <w:highlight w:val="yellow"/>
        </w:rPr>
        <w:t xml:space="preserve">  </w:t>
      </w:r>
    </w:p>
    <w:p w:rsidR="00437DCF" w:rsidRPr="00C920DC" w:rsidRDefault="00437DCF" w:rsidP="00962ABD">
      <w:pPr>
        <w:spacing w:line="276" w:lineRule="auto"/>
        <w:jc w:val="both"/>
        <w:rPr>
          <w:highlight w:val="yellow"/>
        </w:rPr>
      </w:pPr>
    </w:p>
    <w:p w:rsidR="00EA4FED" w:rsidRDefault="00EA4FED" w:rsidP="00E362C7">
      <w:pPr>
        <w:ind w:right="-153"/>
        <w:rPr>
          <w:rFonts w:ascii="Trebuchet MS" w:hAnsi="Trebuchet MS" w:cs="Trebuchet MS"/>
          <w:sz w:val="20"/>
        </w:rPr>
      </w:pPr>
    </w:p>
    <w:p w:rsidR="00F36B3C" w:rsidRDefault="00F36B3C" w:rsidP="00E362C7">
      <w:pPr>
        <w:ind w:right="-153"/>
        <w:rPr>
          <w:rFonts w:ascii="Trebuchet MS" w:hAnsi="Trebuchet MS" w:cs="Trebuchet MS"/>
          <w:sz w:val="20"/>
        </w:rPr>
      </w:pPr>
    </w:p>
    <w:p w:rsidR="00F36B3C" w:rsidRDefault="00F36B3C" w:rsidP="00E362C7">
      <w:pPr>
        <w:ind w:right="-153"/>
        <w:rPr>
          <w:rFonts w:ascii="Trebuchet MS" w:hAnsi="Trebuchet MS" w:cs="Trebuchet MS"/>
          <w:sz w:val="20"/>
        </w:rPr>
      </w:pPr>
    </w:p>
    <w:p w:rsidR="00962ABD" w:rsidRPr="00382002" w:rsidRDefault="00962ABD" w:rsidP="00E362C7">
      <w:pPr>
        <w:ind w:right="-153"/>
        <w:rPr>
          <w:b/>
          <w:highlight w:val="yellow"/>
        </w:rPr>
      </w:pPr>
    </w:p>
    <w:p w:rsidR="00033608" w:rsidRDefault="00033608" w:rsidP="0019760E">
      <w:pPr>
        <w:ind w:left="426" w:hanging="426"/>
        <w:rPr>
          <w:b/>
          <w:szCs w:val="24"/>
        </w:rPr>
      </w:pPr>
    </w:p>
    <w:p w:rsidR="00033608" w:rsidRDefault="00033608" w:rsidP="0019760E">
      <w:pPr>
        <w:ind w:left="426" w:hanging="426"/>
        <w:rPr>
          <w:b/>
          <w:szCs w:val="24"/>
        </w:rPr>
      </w:pPr>
    </w:p>
    <w:p w:rsidR="00FA24FD" w:rsidRPr="00D41D90" w:rsidRDefault="0019760E" w:rsidP="0019760E">
      <w:pPr>
        <w:ind w:left="426" w:hanging="426"/>
        <w:rPr>
          <w:b/>
          <w:szCs w:val="24"/>
        </w:rPr>
      </w:pPr>
      <w:r w:rsidRPr="00D41D90">
        <w:rPr>
          <w:b/>
          <w:szCs w:val="24"/>
        </w:rPr>
        <w:t xml:space="preserve">4. </w:t>
      </w:r>
      <w:r w:rsidR="00D64066">
        <w:rPr>
          <w:b/>
          <w:szCs w:val="24"/>
        </w:rPr>
        <w:t>Impact of the Treasury Management</w:t>
      </w:r>
      <w:r w:rsidR="00340827">
        <w:rPr>
          <w:b/>
          <w:szCs w:val="24"/>
        </w:rPr>
        <w:t xml:space="preserve"> Strategy</w:t>
      </w:r>
      <w:r w:rsidR="00D64066">
        <w:rPr>
          <w:b/>
          <w:szCs w:val="24"/>
        </w:rPr>
        <w:t xml:space="preserve"> on the County Council's revenue budget</w:t>
      </w:r>
    </w:p>
    <w:p w:rsidR="004D7A17" w:rsidRPr="00D41D90" w:rsidRDefault="004D7A17" w:rsidP="00E362C7">
      <w:pPr>
        <w:rPr>
          <w:b/>
          <w:szCs w:val="24"/>
        </w:rPr>
      </w:pPr>
    </w:p>
    <w:p w:rsidR="00D60FB3" w:rsidRPr="00382002" w:rsidRDefault="00E9245C">
      <w:pPr>
        <w:rPr>
          <w:b/>
          <w:szCs w:val="24"/>
          <w:highlight w:val="yellow"/>
        </w:rPr>
      </w:pPr>
      <w:r w:rsidRPr="006107B6">
        <w:rPr>
          <w:szCs w:val="24"/>
        </w:rPr>
        <w:t>The</w:t>
      </w:r>
      <w:r w:rsidR="00340827">
        <w:rPr>
          <w:szCs w:val="24"/>
        </w:rPr>
        <w:t xml:space="preserve"> table below shows </w:t>
      </w:r>
      <w:r w:rsidR="004A60EA" w:rsidRPr="006107B6">
        <w:rPr>
          <w:szCs w:val="24"/>
        </w:rPr>
        <w:t>an</w:t>
      </w:r>
      <w:r w:rsidR="00FA66D2" w:rsidRPr="006107B6">
        <w:rPr>
          <w:szCs w:val="24"/>
        </w:rPr>
        <w:t xml:space="preserve"> </w:t>
      </w:r>
      <w:r w:rsidR="004A60EA" w:rsidRPr="006107B6">
        <w:rPr>
          <w:szCs w:val="24"/>
        </w:rPr>
        <w:t>underspend of £</w:t>
      </w:r>
      <w:r w:rsidR="0071674D">
        <w:rPr>
          <w:szCs w:val="24"/>
        </w:rPr>
        <w:t>1.528</w:t>
      </w:r>
      <w:r w:rsidR="00D41D90" w:rsidRPr="006107B6">
        <w:rPr>
          <w:szCs w:val="24"/>
        </w:rPr>
        <w:t>m</w:t>
      </w:r>
      <w:r w:rsidR="00340827">
        <w:rPr>
          <w:szCs w:val="24"/>
        </w:rPr>
        <w:t xml:space="preserve"> on the finance charges budget which is as a result of the Treasury Management strategy applied in the year.  This has been achieved by keeping borrowing costs low and maximising investment returns whilst ensuring </w:t>
      </w:r>
      <w:r w:rsidR="00340827">
        <w:rPr>
          <w:szCs w:val="24"/>
        </w:rPr>
        <w:lastRenderedPageBreak/>
        <w:t>the proper levels of security and liquidity are maintained.</w:t>
      </w:r>
    </w:p>
    <w:tbl>
      <w:tblPr>
        <w:tblW w:w="8867" w:type="dxa"/>
        <w:tblInd w:w="93" w:type="dxa"/>
        <w:tblLook w:val="04A0" w:firstRow="1" w:lastRow="0" w:firstColumn="1" w:lastColumn="0" w:noHBand="0" w:noVBand="1"/>
      </w:tblPr>
      <w:tblGrid>
        <w:gridCol w:w="4154"/>
        <w:gridCol w:w="1957"/>
        <w:gridCol w:w="1378"/>
        <w:gridCol w:w="1378"/>
      </w:tblGrid>
      <w:tr w:rsidR="007F2D69" w:rsidRPr="00382002" w:rsidTr="00B53944">
        <w:trPr>
          <w:trHeight w:val="379"/>
        </w:trPr>
        <w:tc>
          <w:tcPr>
            <w:tcW w:w="6111" w:type="dxa"/>
            <w:gridSpan w:val="2"/>
            <w:tcBorders>
              <w:top w:val="nil"/>
              <w:left w:val="nil"/>
              <w:bottom w:val="single" w:sz="4" w:space="0" w:color="auto"/>
              <w:right w:val="nil"/>
            </w:tcBorders>
            <w:shd w:val="clear" w:color="auto" w:fill="auto"/>
            <w:noWrap/>
            <w:vAlign w:val="center"/>
            <w:hideMark/>
          </w:tcPr>
          <w:p w:rsidR="00962ABD" w:rsidRDefault="00962ABD" w:rsidP="00E45620">
            <w:pPr>
              <w:rPr>
                <w:rFonts w:cs="Arial"/>
                <w:b/>
                <w:bCs/>
                <w:szCs w:val="24"/>
              </w:rPr>
            </w:pPr>
          </w:p>
          <w:p w:rsidR="007F2D69" w:rsidRPr="00D41D90" w:rsidRDefault="00C21314" w:rsidP="00E45620">
            <w:pPr>
              <w:rPr>
                <w:rFonts w:cs="Arial"/>
                <w:b/>
                <w:bCs/>
                <w:szCs w:val="24"/>
              </w:rPr>
            </w:pPr>
            <w:r w:rsidRPr="00D41D90">
              <w:rPr>
                <w:rFonts w:cs="Arial"/>
                <w:b/>
                <w:bCs/>
                <w:szCs w:val="24"/>
              </w:rPr>
              <w:t>Financing Charges 201</w:t>
            </w:r>
            <w:r w:rsidR="00D41D90" w:rsidRPr="00D41D90">
              <w:rPr>
                <w:rFonts w:cs="Arial"/>
                <w:b/>
                <w:bCs/>
                <w:szCs w:val="24"/>
              </w:rPr>
              <w:t>3/14</w:t>
            </w:r>
            <w:r w:rsidRPr="00D41D90">
              <w:rPr>
                <w:rFonts w:cs="Arial"/>
                <w:b/>
                <w:bCs/>
                <w:szCs w:val="24"/>
              </w:rPr>
              <w:t>– End of Year Position</w:t>
            </w:r>
          </w:p>
          <w:p w:rsidR="00B53944" w:rsidRPr="00382002" w:rsidRDefault="00B53944" w:rsidP="00E45620">
            <w:pPr>
              <w:rPr>
                <w:rFonts w:cs="Arial"/>
                <w:bCs/>
                <w:szCs w:val="24"/>
                <w:highlight w:val="yellow"/>
              </w:rPr>
            </w:pPr>
          </w:p>
        </w:tc>
        <w:tc>
          <w:tcPr>
            <w:tcW w:w="1378" w:type="dxa"/>
            <w:tcBorders>
              <w:top w:val="nil"/>
              <w:left w:val="nil"/>
              <w:bottom w:val="single" w:sz="4" w:space="0" w:color="auto"/>
              <w:right w:val="nil"/>
            </w:tcBorders>
            <w:shd w:val="clear" w:color="auto" w:fill="auto"/>
            <w:noWrap/>
            <w:vAlign w:val="bottom"/>
            <w:hideMark/>
          </w:tcPr>
          <w:p w:rsidR="007F2D69" w:rsidRPr="00382002" w:rsidRDefault="007F2D69" w:rsidP="007F2D69">
            <w:pPr>
              <w:rPr>
                <w:rFonts w:cs="Arial"/>
                <w:sz w:val="20"/>
                <w:highlight w:val="yellow"/>
              </w:rPr>
            </w:pPr>
          </w:p>
        </w:tc>
        <w:tc>
          <w:tcPr>
            <w:tcW w:w="1378" w:type="dxa"/>
            <w:tcBorders>
              <w:top w:val="nil"/>
              <w:left w:val="nil"/>
              <w:bottom w:val="single" w:sz="4" w:space="0" w:color="auto"/>
              <w:right w:val="nil"/>
            </w:tcBorders>
            <w:shd w:val="clear" w:color="auto" w:fill="auto"/>
            <w:noWrap/>
            <w:vAlign w:val="bottom"/>
            <w:hideMark/>
          </w:tcPr>
          <w:p w:rsidR="007F2D69" w:rsidRPr="00382002" w:rsidRDefault="007F2D69" w:rsidP="007F2D69">
            <w:pPr>
              <w:rPr>
                <w:rFonts w:cs="Arial"/>
                <w:sz w:val="20"/>
                <w:highlight w:val="yellow"/>
              </w:rPr>
            </w:pPr>
          </w:p>
        </w:tc>
      </w:tr>
      <w:tr w:rsidR="00D41D90" w:rsidRPr="00382002" w:rsidTr="00D41D90">
        <w:trPr>
          <w:trHeight w:val="332"/>
        </w:trPr>
        <w:tc>
          <w:tcPr>
            <w:tcW w:w="4154" w:type="dxa"/>
            <w:tcBorders>
              <w:top w:val="single" w:sz="4" w:space="0" w:color="auto"/>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single" w:sz="4" w:space="0" w:color="auto"/>
              <w:left w:val="nil"/>
              <w:bottom w:val="nil"/>
              <w:right w:val="nil"/>
            </w:tcBorders>
            <w:shd w:val="clear" w:color="auto" w:fill="auto"/>
            <w:noWrap/>
            <w:vAlign w:val="bottom"/>
            <w:hideMark/>
          </w:tcPr>
          <w:p w:rsidR="00D41D90" w:rsidRPr="00033608" w:rsidRDefault="00D41D90">
            <w:pPr>
              <w:jc w:val="center"/>
              <w:rPr>
                <w:rFonts w:cs="Arial"/>
                <w:b/>
                <w:bCs/>
                <w:color w:val="000000"/>
                <w:sz w:val="20"/>
              </w:rPr>
            </w:pPr>
            <w:r w:rsidRPr="00033608">
              <w:rPr>
                <w:rFonts w:cs="Arial"/>
                <w:b/>
                <w:bCs/>
                <w:color w:val="000000"/>
                <w:sz w:val="20"/>
              </w:rPr>
              <w:t xml:space="preserve">            Budget</w:t>
            </w:r>
          </w:p>
        </w:tc>
        <w:tc>
          <w:tcPr>
            <w:tcW w:w="1378" w:type="dxa"/>
            <w:tcBorders>
              <w:top w:val="single" w:sz="4" w:space="0" w:color="auto"/>
              <w:left w:val="nil"/>
              <w:bottom w:val="nil"/>
              <w:right w:val="nil"/>
            </w:tcBorders>
            <w:shd w:val="clear" w:color="auto" w:fill="auto"/>
            <w:noWrap/>
            <w:vAlign w:val="bottom"/>
            <w:hideMark/>
          </w:tcPr>
          <w:p w:rsidR="00D41D90" w:rsidRPr="00033608" w:rsidRDefault="00D41D90">
            <w:pPr>
              <w:jc w:val="right"/>
              <w:rPr>
                <w:rFonts w:cs="Arial"/>
                <w:b/>
                <w:bCs/>
                <w:color w:val="000000"/>
                <w:sz w:val="20"/>
              </w:rPr>
            </w:pPr>
            <w:r w:rsidRPr="00033608">
              <w:rPr>
                <w:rFonts w:cs="Arial"/>
                <w:b/>
                <w:bCs/>
                <w:color w:val="000000"/>
                <w:sz w:val="20"/>
              </w:rPr>
              <w:t>Year End Position</w:t>
            </w:r>
          </w:p>
        </w:tc>
        <w:tc>
          <w:tcPr>
            <w:tcW w:w="1378" w:type="dxa"/>
            <w:tcBorders>
              <w:top w:val="single" w:sz="4" w:space="0" w:color="auto"/>
              <w:left w:val="nil"/>
              <w:bottom w:val="nil"/>
              <w:right w:val="single" w:sz="4" w:space="0" w:color="auto"/>
            </w:tcBorders>
            <w:shd w:val="clear" w:color="auto" w:fill="auto"/>
            <w:noWrap/>
            <w:vAlign w:val="bottom"/>
            <w:hideMark/>
          </w:tcPr>
          <w:p w:rsidR="00D41D90" w:rsidRPr="00033608" w:rsidRDefault="00D41D90">
            <w:pPr>
              <w:jc w:val="center"/>
              <w:rPr>
                <w:rFonts w:cs="Arial"/>
                <w:b/>
                <w:bCs/>
                <w:color w:val="000000"/>
                <w:sz w:val="20"/>
              </w:rPr>
            </w:pPr>
            <w:r w:rsidRPr="00033608">
              <w:rPr>
                <w:rFonts w:cs="Arial"/>
                <w:b/>
                <w:bCs/>
                <w:color w:val="000000"/>
                <w:sz w:val="20"/>
              </w:rPr>
              <w:t xml:space="preserve">  Variance</w:t>
            </w:r>
          </w:p>
        </w:tc>
      </w:tr>
      <w:tr w:rsidR="00D41D90" w:rsidRPr="00382002" w:rsidTr="00D41D90">
        <w:trPr>
          <w:trHeight w:val="332"/>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jc w:val="center"/>
              <w:rPr>
                <w:rFonts w:cs="Arial"/>
                <w:color w:val="000000"/>
                <w:sz w:val="20"/>
              </w:rPr>
            </w:pPr>
            <w:r w:rsidRPr="00033608">
              <w:rPr>
                <w:rFonts w:cs="Arial"/>
                <w:color w:val="000000"/>
                <w:sz w:val="20"/>
              </w:rPr>
              <w:t xml:space="preserve">       £m</w:t>
            </w:r>
          </w:p>
        </w:tc>
        <w:tc>
          <w:tcPr>
            <w:tcW w:w="1378" w:type="dxa"/>
            <w:tcBorders>
              <w:top w:val="nil"/>
              <w:left w:val="nil"/>
              <w:bottom w:val="nil"/>
              <w:right w:val="nil"/>
            </w:tcBorders>
            <w:shd w:val="clear" w:color="auto" w:fill="auto"/>
            <w:noWrap/>
            <w:vAlign w:val="bottom"/>
            <w:hideMark/>
          </w:tcPr>
          <w:p w:rsidR="00D41D90" w:rsidRPr="00033608" w:rsidRDefault="00D41D90">
            <w:pPr>
              <w:jc w:val="center"/>
              <w:rPr>
                <w:rFonts w:cs="Arial"/>
                <w:color w:val="000000"/>
                <w:sz w:val="20"/>
              </w:rPr>
            </w:pPr>
            <w:r w:rsidRPr="00033608">
              <w:rPr>
                <w:rFonts w:cs="Arial"/>
                <w:color w:val="000000"/>
                <w:sz w:val="20"/>
              </w:rPr>
              <w:t xml:space="preserve">  £m</w:t>
            </w: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jc w:val="center"/>
              <w:rPr>
                <w:rFonts w:cs="Arial"/>
                <w:color w:val="000000"/>
                <w:sz w:val="20"/>
              </w:rPr>
            </w:pPr>
            <w:r w:rsidRPr="00033608">
              <w:rPr>
                <w:rFonts w:cs="Arial"/>
                <w:color w:val="000000"/>
                <w:sz w:val="20"/>
              </w:rPr>
              <w:t xml:space="preserve">      £m</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cs="Arial"/>
                <w:color w:val="000000"/>
                <w:sz w:val="20"/>
              </w:rPr>
            </w:pPr>
            <w:r w:rsidRPr="00033608">
              <w:rPr>
                <w:rFonts w:cs="Arial"/>
                <w:color w:val="000000"/>
                <w:sz w:val="20"/>
              </w:rPr>
              <w:t>Statutory Charge to Revenue</w:t>
            </w:r>
          </w:p>
        </w:tc>
        <w:tc>
          <w:tcPr>
            <w:tcW w:w="1957"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29.998</w:t>
            </w:r>
          </w:p>
        </w:tc>
        <w:tc>
          <w:tcPr>
            <w:tcW w:w="1378"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30.565</w:t>
            </w: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0.567</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cs="Arial"/>
                <w:color w:val="000000"/>
                <w:sz w:val="20"/>
              </w:rPr>
            </w:pPr>
            <w:r w:rsidRPr="00033608">
              <w:rPr>
                <w:rFonts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 </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cs="Arial"/>
                <w:color w:val="000000"/>
                <w:sz w:val="20"/>
              </w:rPr>
            </w:pPr>
            <w:r w:rsidRPr="00033608">
              <w:rPr>
                <w:rFonts w:cs="Arial"/>
                <w:color w:val="000000"/>
                <w:sz w:val="20"/>
              </w:rPr>
              <w:t>Interest paid</w:t>
            </w:r>
          </w:p>
        </w:tc>
        <w:tc>
          <w:tcPr>
            <w:tcW w:w="1957"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18.674</w:t>
            </w:r>
          </w:p>
        </w:tc>
        <w:tc>
          <w:tcPr>
            <w:tcW w:w="1378"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19.27</w:t>
            </w:r>
            <w:r w:rsidR="0071674D" w:rsidRPr="00033608">
              <w:rPr>
                <w:rFonts w:cs="Arial"/>
                <w:color w:val="000000"/>
                <w:sz w:val="20"/>
              </w:rPr>
              <w:t>8</w:t>
            </w: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0.60</w:t>
            </w:r>
            <w:r w:rsidR="0071674D" w:rsidRPr="00033608">
              <w:rPr>
                <w:rFonts w:cs="Arial"/>
                <w:color w:val="000000"/>
                <w:sz w:val="20"/>
              </w:rPr>
              <w:t>4</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cs="Arial"/>
                <w:color w:val="000000"/>
                <w:sz w:val="20"/>
              </w:rPr>
            </w:pPr>
            <w:r w:rsidRPr="00033608">
              <w:rPr>
                <w:rFonts w:cs="Arial"/>
                <w:color w:val="000000"/>
                <w:sz w:val="20"/>
              </w:rPr>
              <w:t>Investment interest received</w:t>
            </w:r>
          </w:p>
        </w:tc>
        <w:tc>
          <w:tcPr>
            <w:tcW w:w="1957" w:type="dxa"/>
            <w:tcBorders>
              <w:top w:val="nil"/>
              <w:left w:val="nil"/>
              <w:bottom w:val="nil"/>
              <w:right w:val="nil"/>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-16.323</w:t>
            </w:r>
          </w:p>
        </w:tc>
        <w:tc>
          <w:tcPr>
            <w:tcW w:w="1378" w:type="dxa"/>
            <w:tcBorders>
              <w:top w:val="nil"/>
              <w:left w:val="nil"/>
              <w:bottom w:val="nil"/>
              <w:right w:val="nil"/>
            </w:tcBorders>
            <w:shd w:val="clear" w:color="auto" w:fill="auto"/>
            <w:noWrap/>
            <w:vAlign w:val="bottom"/>
            <w:hideMark/>
          </w:tcPr>
          <w:p w:rsidR="00D41D90" w:rsidRPr="00033608" w:rsidRDefault="00D41D90" w:rsidP="00D20CA5">
            <w:pPr>
              <w:jc w:val="right"/>
              <w:rPr>
                <w:rFonts w:cs="Arial"/>
                <w:color w:val="000000"/>
                <w:sz w:val="20"/>
              </w:rPr>
            </w:pPr>
            <w:r w:rsidRPr="00033608">
              <w:rPr>
                <w:rFonts w:cs="Arial"/>
                <w:color w:val="000000"/>
                <w:sz w:val="20"/>
              </w:rPr>
              <w:t>-1</w:t>
            </w:r>
            <w:r w:rsidR="0071674D" w:rsidRPr="00033608">
              <w:rPr>
                <w:rFonts w:cs="Arial"/>
                <w:color w:val="000000"/>
                <w:sz w:val="20"/>
              </w:rPr>
              <w:t>9.022</w:t>
            </w: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jc w:val="right"/>
              <w:rPr>
                <w:rFonts w:cs="Arial"/>
                <w:color w:val="000000"/>
                <w:sz w:val="20"/>
              </w:rPr>
            </w:pPr>
            <w:r w:rsidRPr="00033608">
              <w:rPr>
                <w:rFonts w:cs="Arial"/>
                <w:color w:val="000000"/>
                <w:sz w:val="20"/>
              </w:rPr>
              <w:t>-2.</w:t>
            </w:r>
            <w:r w:rsidR="0071674D" w:rsidRPr="00033608">
              <w:rPr>
                <w:rFonts w:cs="Arial"/>
                <w:color w:val="000000"/>
                <w:sz w:val="20"/>
              </w:rPr>
              <w:t>699</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r>
      <w:tr w:rsidR="00D41D90" w:rsidRPr="00382002" w:rsidTr="00D41D90">
        <w:trPr>
          <w:trHeight w:val="316"/>
        </w:trPr>
        <w:tc>
          <w:tcPr>
            <w:tcW w:w="4154" w:type="dxa"/>
            <w:tcBorders>
              <w:top w:val="nil"/>
              <w:left w:val="single" w:sz="4" w:space="0" w:color="auto"/>
              <w:bottom w:val="nil"/>
              <w:right w:val="nil"/>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c>
          <w:tcPr>
            <w:tcW w:w="1957"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nil"/>
            </w:tcBorders>
            <w:shd w:val="clear" w:color="auto" w:fill="auto"/>
            <w:noWrap/>
            <w:vAlign w:val="bottom"/>
            <w:hideMark/>
          </w:tcPr>
          <w:p w:rsidR="00D41D90" w:rsidRPr="00033608" w:rsidRDefault="00D41D90">
            <w:pPr>
              <w:rPr>
                <w:rFonts w:ascii="Calibri" w:hAnsi="Calibri" w:cs="Arial"/>
                <w:color w:val="000000"/>
                <w:sz w:val="20"/>
              </w:rPr>
            </w:pPr>
          </w:p>
        </w:tc>
        <w:tc>
          <w:tcPr>
            <w:tcW w:w="1378" w:type="dxa"/>
            <w:tcBorders>
              <w:top w:val="nil"/>
              <w:left w:val="nil"/>
              <w:bottom w:val="nil"/>
              <w:right w:val="single" w:sz="4" w:space="0" w:color="auto"/>
            </w:tcBorders>
            <w:shd w:val="clear" w:color="auto" w:fill="auto"/>
            <w:noWrap/>
            <w:vAlign w:val="bottom"/>
            <w:hideMark/>
          </w:tcPr>
          <w:p w:rsidR="00D41D90" w:rsidRPr="00033608" w:rsidRDefault="00D41D90">
            <w:pPr>
              <w:rPr>
                <w:rFonts w:ascii="Calibri" w:hAnsi="Calibri" w:cs="Arial"/>
                <w:color w:val="000000"/>
                <w:sz w:val="20"/>
              </w:rPr>
            </w:pPr>
            <w:r w:rsidRPr="00033608">
              <w:rPr>
                <w:rFonts w:ascii="Calibri" w:hAnsi="Calibri" w:cs="Arial"/>
                <w:color w:val="000000"/>
                <w:sz w:val="20"/>
              </w:rPr>
              <w:t> </w:t>
            </w:r>
          </w:p>
        </w:tc>
      </w:tr>
      <w:tr w:rsidR="00D41D90" w:rsidRPr="00382002" w:rsidTr="00D41D90">
        <w:trPr>
          <w:trHeight w:val="332"/>
        </w:trPr>
        <w:tc>
          <w:tcPr>
            <w:tcW w:w="4154" w:type="dxa"/>
            <w:tcBorders>
              <w:top w:val="nil"/>
              <w:left w:val="single" w:sz="4" w:space="0" w:color="auto"/>
              <w:bottom w:val="single" w:sz="4" w:space="0" w:color="auto"/>
              <w:right w:val="nil"/>
            </w:tcBorders>
            <w:shd w:val="clear" w:color="auto" w:fill="auto"/>
            <w:noWrap/>
            <w:vAlign w:val="bottom"/>
            <w:hideMark/>
          </w:tcPr>
          <w:p w:rsidR="00D41D90" w:rsidRPr="00033608" w:rsidRDefault="006F27C5" w:rsidP="006F27C5">
            <w:pPr>
              <w:rPr>
                <w:rFonts w:cs="Arial"/>
                <w:b/>
                <w:bCs/>
                <w:color w:val="000000"/>
                <w:sz w:val="20"/>
              </w:rPr>
            </w:pPr>
            <w:r w:rsidRPr="00033608">
              <w:rPr>
                <w:rFonts w:cs="Arial"/>
                <w:b/>
                <w:bCs/>
                <w:color w:val="000000"/>
                <w:sz w:val="20"/>
              </w:rPr>
              <w:t>Total N</w:t>
            </w:r>
            <w:r w:rsidR="00D41D90" w:rsidRPr="00033608">
              <w:rPr>
                <w:rFonts w:cs="Arial"/>
                <w:b/>
                <w:bCs/>
                <w:color w:val="000000"/>
                <w:sz w:val="20"/>
              </w:rPr>
              <w:t xml:space="preserve">et </w:t>
            </w:r>
            <w:r w:rsidRPr="00033608">
              <w:rPr>
                <w:rFonts w:cs="Arial"/>
                <w:b/>
                <w:bCs/>
                <w:color w:val="000000"/>
                <w:sz w:val="20"/>
              </w:rPr>
              <w:t>F</w:t>
            </w:r>
            <w:r w:rsidR="00D41D90" w:rsidRPr="00033608">
              <w:rPr>
                <w:rFonts w:cs="Arial"/>
                <w:b/>
                <w:bCs/>
                <w:color w:val="000000"/>
                <w:sz w:val="20"/>
              </w:rPr>
              <w:t>inancing charges</w:t>
            </w:r>
          </w:p>
        </w:tc>
        <w:tc>
          <w:tcPr>
            <w:tcW w:w="1957" w:type="dxa"/>
            <w:tcBorders>
              <w:top w:val="nil"/>
              <w:left w:val="nil"/>
              <w:bottom w:val="single" w:sz="4" w:space="0" w:color="auto"/>
              <w:right w:val="nil"/>
            </w:tcBorders>
            <w:shd w:val="clear" w:color="auto" w:fill="auto"/>
            <w:noWrap/>
            <w:vAlign w:val="bottom"/>
            <w:hideMark/>
          </w:tcPr>
          <w:p w:rsidR="00D41D90" w:rsidRPr="00033608" w:rsidRDefault="00D41D90">
            <w:pPr>
              <w:jc w:val="right"/>
              <w:rPr>
                <w:rFonts w:cs="Arial"/>
                <w:b/>
                <w:bCs/>
                <w:color w:val="000000"/>
                <w:sz w:val="20"/>
              </w:rPr>
            </w:pPr>
            <w:r w:rsidRPr="00033608">
              <w:rPr>
                <w:rFonts w:cs="Arial"/>
                <w:b/>
                <w:bCs/>
                <w:color w:val="000000"/>
                <w:sz w:val="20"/>
              </w:rPr>
              <w:t>32.349</w:t>
            </w:r>
          </w:p>
        </w:tc>
        <w:tc>
          <w:tcPr>
            <w:tcW w:w="1378" w:type="dxa"/>
            <w:tcBorders>
              <w:top w:val="nil"/>
              <w:left w:val="nil"/>
              <w:bottom w:val="single" w:sz="4" w:space="0" w:color="auto"/>
              <w:right w:val="nil"/>
            </w:tcBorders>
            <w:shd w:val="clear" w:color="auto" w:fill="auto"/>
            <w:noWrap/>
            <w:vAlign w:val="bottom"/>
            <w:hideMark/>
          </w:tcPr>
          <w:p w:rsidR="00D41D90" w:rsidRPr="00033608" w:rsidRDefault="00D20CA5">
            <w:pPr>
              <w:jc w:val="right"/>
              <w:rPr>
                <w:rFonts w:cs="Arial"/>
                <w:b/>
                <w:bCs/>
                <w:color w:val="000000"/>
                <w:sz w:val="20"/>
              </w:rPr>
            </w:pPr>
            <w:r w:rsidRPr="00033608">
              <w:rPr>
                <w:rFonts w:cs="Arial"/>
                <w:b/>
                <w:bCs/>
                <w:color w:val="000000"/>
                <w:sz w:val="20"/>
              </w:rPr>
              <w:t>30.906</w:t>
            </w:r>
          </w:p>
        </w:tc>
        <w:tc>
          <w:tcPr>
            <w:tcW w:w="1378" w:type="dxa"/>
            <w:tcBorders>
              <w:top w:val="nil"/>
              <w:left w:val="nil"/>
              <w:bottom w:val="single" w:sz="4" w:space="0" w:color="auto"/>
              <w:right w:val="single" w:sz="4" w:space="0" w:color="auto"/>
            </w:tcBorders>
            <w:shd w:val="clear" w:color="auto" w:fill="auto"/>
            <w:noWrap/>
            <w:vAlign w:val="bottom"/>
            <w:hideMark/>
          </w:tcPr>
          <w:p w:rsidR="00D41D90" w:rsidRPr="00033608" w:rsidRDefault="00D41D90" w:rsidP="00D20CA5">
            <w:pPr>
              <w:jc w:val="right"/>
              <w:rPr>
                <w:rFonts w:cs="Arial"/>
                <w:b/>
                <w:bCs/>
                <w:color w:val="000000"/>
                <w:sz w:val="20"/>
              </w:rPr>
            </w:pPr>
            <w:r w:rsidRPr="00033608">
              <w:rPr>
                <w:rFonts w:cs="Arial"/>
                <w:b/>
                <w:bCs/>
                <w:color w:val="000000"/>
                <w:sz w:val="20"/>
              </w:rPr>
              <w:t>-</w:t>
            </w:r>
            <w:r w:rsidR="00D20CA5" w:rsidRPr="00033608">
              <w:rPr>
                <w:rFonts w:cs="Arial"/>
                <w:b/>
                <w:bCs/>
                <w:color w:val="000000"/>
                <w:sz w:val="20"/>
              </w:rPr>
              <w:t>1.</w:t>
            </w:r>
            <w:r w:rsidR="0071674D" w:rsidRPr="00033608">
              <w:rPr>
                <w:rFonts w:cs="Arial"/>
                <w:b/>
                <w:bCs/>
                <w:color w:val="000000"/>
                <w:sz w:val="20"/>
              </w:rPr>
              <w:t>528</w:t>
            </w:r>
          </w:p>
        </w:tc>
      </w:tr>
    </w:tbl>
    <w:p w:rsidR="007F2D69" w:rsidRPr="00382002" w:rsidRDefault="007F2D69" w:rsidP="00E362C7">
      <w:pPr>
        <w:rPr>
          <w:b/>
          <w:szCs w:val="24"/>
          <w:highlight w:val="yellow"/>
        </w:rPr>
      </w:pPr>
    </w:p>
    <w:p w:rsidR="00A0368D" w:rsidRDefault="00A0368D" w:rsidP="00A15E9F">
      <w:pPr>
        <w:rPr>
          <w:rFonts w:cs="Arial"/>
          <w:color w:val="000000" w:themeColor="text1"/>
          <w:szCs w:val="24"/>
        </w:rPr>
      </w:pPr>
    </w:p>
    <w:p w:rsidR="00D57100" w:rsidRDefault="00D57100" w:rsidP="00A15E9F">
      <w:pPr>
        <w:autoSpaceDE w:val="0"/>
        <w:autoSpaceDN w:val="0"/>
        <w:rPr>
          <w:rFonts w:cs="Arial"/>
          <w:color w:val="000000" w:themeColor="text1"/>
          <w:szCs w:val="24"/>
        </w:rPr>
      </w:pPr>
    </w:p>
    <w:p w:rsidR="00F651A4" w:rsidRDefault="00F651A4" w:rsidP="00A15E9F">
      <w:pPr>
        <w:autoSpaceDE w:val="0"/>
        <w:autoSpaceDN w:val="0"/>
        <w:rPr>
          <w:rFonts w:cs="Arial"/>
          <w:color w:val="000000" w:themeColor="text1"/>
          <w:szCs w:val="24"/>
        </w:rPr>
      </w:pPr>
    </w:p>
    <w:p w:rsidR="00D57100" w:rsidRPr="00D57100" w:rsidRDefault="00D57100" w:rsidP="00D57100">
      <w:pPr>
        <w:rPr>
          <w:b/>
          <w:szCs w:val="24"/>
        </w:rPr>
      </w:pPr>
      <w:r w:rsidRPr="00D57100">
        <w:rPr>
          <w:rFonts w:cs="Arial"/>
          <w:color w:val="000000" w:themeColor="text1"/>
          <w:szCs w:val="24"/>
        </w:rPr>
        <w:t>5.</w:t>
      </w:r>
      <w:r w:rsidRPr="00D57100">
        <w:rPr>
          <w:b/>
          <w:szCs w:val="24"/>
        </w:rPr>
        <w:t xml:space="preserve"> Treasury </w:t>
      </w:r>
      <w:r w:rsidR="00010062" w:rsidRPr="00D57100">
        <w:rPr>
          <w:b/>
          <w:szCs w:val="24"/>
        </w:rPr>
        <w:t>Management and</w:t>
      </w:r>
      <w:r w:rsidRPr="00D57100">
        <w:rPr>
          <w:b/>
          <w:szCs w:val="24"/>
        </w:rPr>
        <w:t xml:space="preserve"> Prudential Indicators 2013/14</w:t>
      </w:r>
    </w:p>
    <w:p w:rsidR="00D57100" w:rsidRDefault="00D57100" w:rsidP="00A15E9F">
      <w:pPr>
        <w:autoSpaceDE w:val="0"/>
        <w:autoSpaceDN w:val="0"/>
        <w:rPr>
          <w:b/>
          <w:color w:val="000000" w:themeColor="text1"/>
        </w:rPr>
      </w:pPr>
    </w:p>
    <w:p w:rsidR="00D57100" w:rsidRDefault="00D57100" w:rsidP="00D57100">
      <w:pPr>
        <w:rPr>
          <w:b/>
          <w:szCs w:val="24"/>
        </w:rPr>
      </w:pPr>
      <w:r w:rsidRPr="00424742">
        <w:rPr>
          <w:szCs w:val="24"/>
        </w:rPr>
        <w:lastRenderedPageBreak/>
        <w:t>The Local Government Act 2003 and supporting regulations require the County Council to have regard to the prudential code and to set prudential indicators to ensure the County Council's capital investment plans are affordable, prudent and sustainable</w:t>
      </w:r>
      <w:r w:rsidRPr="00424742">
        <w:rPr>
          <w:b/>
          <w:szCs w:val="24"/>
        </w:rPr>
        <w:t>.</w:t>
      </w:r>
    </w:p>
    <w:p w:rsidR="000B71C1" w:rsidRPr="00424742" w:rsidRDefault="000B71C1" w:rsidP="00D57100">
      <w:pPr>
        <w:rPr>
          <w:b/>
          <w:szCs w:val="24"/>
        </w:rPr>
      </w:pPr>
    </w:p>
    <w:p w:rsidR="00F651A4" w:rsidRDefault="00D57100" w:rsidP="00D57100">
      <w:pPr>
        <w:rPr>
          <w:szCs w:val="24"/>
        </w:rPr>
      </w:pPr>
      <w:r w:rsidRPr="00424742">
        <w:rPr>
          <w:szCs w:val="24"/>
        </w:rPr>
        <w:t>A comparison of the actual position at</w:t>
      </w:r>
      <w:r w:rsidR="00F651A4">
        <w:rPr>
          <w:szCs w:val="24"/>
        </w:rPr>
        <w:t xml:space="preserve"> 31 March 2013 compared to the </w:t>
      </w:r>
      <w:r w:rsidRPr="00424742">
        <w:rPr>
          <w:szCs w:val="24"/>
        </w:rPr>
        <w:t>indicators set in the treasury management strategy for 2012/13 is set out below</w:t>
      </w:r>
      <w:r w:rsidR="005B5F7A">
        <w:rPr>
          <w:szCs w:val="24"/>
        </w:rPr>
        <w:t>.</w:t>
      </w:r>
    </w:p>
    <w:p w:rsidR="00F36B3C" w:rsidRDefault="00F36B3C" w:rsidP="00D57100">
      <w:pPr>
        <w:rPr>
          <w:szCs w:val="24"/>
        </w:rPr>
      </w:pPr>
    </w:p>
    <w:p w:rsidR="00F36B3C" w:rsidRDefault="00F36B3C"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0B71C1" w:rsidRDefault="000B71C1" w:rsidP="00D57100">
      <w:pPr>
        <w:rPr>
          <w:szCs w:val="24"/>
        </w:rPr>
      </w:pPr>
    </w:p>
    <w:p w:rsidR="00D57100" w:rsidRPr="00124AD6" w:rsidRDefault="00D57100" w:rsidP="00D57100">
      <w:pPr>
        <w:rPr>
          <w:sz w:val="22"/>
          <w:szCs w:val="22"/>
        </w:rPr>
      </w:pP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C126D4">
        <w:rPr>
          <w:b/>
          <w:sz w:val="22"/>
          <w:szCs w:val="22"/>
        </w:rPr>
        <w:tab/>
      </w:r>
      <w:r w:rsidRPr="00124AD6">
        <w:rPr>
          <w:b/>
          <w:sz w:val="22"/>
          <w:szCs w:val="22"/>
        </w:rPr>
        <w:t>2013/14   2013/14</w:t>
      </w:r>
    </w:p>
    <w:p w:rsidR="00D57100" w:rsidRPr="00611752" w:rsidRDefault="00D57100" w:rsidP="0042450E">
      <w:pPr>
        <w:jc w:val="both"/>
        <w:rPr>
          <w:b/>
          <w:sz w:val="22"/>
          <w:szCs w:val="22"/>
        </w:rPr>
      </w:pPr>
      <w:r w:rsidRPr="00611752">
        <w:rPr>
          <w:sz w:val="22"/>
          <w:szCs w:val="22"/>
        </w:rPr>
        <w:lastRenderedPageBreak/>
        <w:tab/>
      </w:r>
      <w:r w:rsidRPr="00611752">
        <w:rPr>
          <w:sz w:val="22"/>
          <w:szCs w:val="22"/>
        </w:rPr>
        <w:tab/>
      </w:r>
      <w:r w:rsidRPr="00611752">
        <w:rPr>
          <w:sz w:val="22"/>
          <w:szCs w:val="22"/>
        </w:rPr>
        <w:tab/>
      </w:r>
      <w:r w:rsidRPr="00611752">
        <w:rPr>
          <w:sz w:val="22"/>
          <w:szCs w:val="22"/>
        </w:rPr>
        <w:tab/>
      </w:r>
      <w:r w:rsidRPr="00611752">
        <w:rPr>
          <w:sz w:val="22"/>
          <w:szCs w:val="22"/>
        </w:rPr>
        <w:tab/>
      </w:r>
      <w:r w:rsidRPr="00611752">
        <w:rPr>
          <w:sz w:val="22"/>
          <w:szCs w:val="22"/>
        </w:rPr>
        <w:tab/>
      </w:r>
      <w:r w:rsidRPr="00611752">
        <w:rPr>
          <w:sz w:val="22"/>
          <w:szCs w:val="22"/>
        </w:rPr>
        <w:tab/>
      </w:r>
      <w:r w:rsidRPr="00611752">
        <w:rPr>
          <w:sz w:val="22"/>
          <w:szCs w:val="22"/>
        </w:rPr>
        <w:tab/>
      </w:r>
      <w:r w:rsidRPr="00611752">
        <w:rPr>
          <w:sz w:val="22"/>
          <w:szCs w:val="22"/>
        </w:rPr>
        <w:tab/>
      </w:r>
      <w:r w:rsidRPr="00611752">
        <w:rPr>
          <w:sz w:val="22"/>
          <w:szCs w:val="22"/>
        </w:rPr>
        <w:tab/>
      </w:r>
      <w:r w:rsidR="0042450E">
        <w:rPr>
          <w:sz w:val="22"/>
          <w:szCs w:val="22"/>
        </w:rPr>
        <w:t xml:space="preserve">   </w:t>
      </w:r>
      <w:r w:rsidR="0042450E" w:rsidRPr="0042450E">
        <w:rPr>
          <w:b/>
          <w:sz w:val="22"/>
          <w:szCs w:val="22"/>
        </w:rPr>
        <w:t>Limit</w:t>
      </w:r>
      <w:r w:rsidRPr="00611752">
        <w:rPr>
          <w:sz w:val="22"/>
          <w:szCs w:val="22"/>
        </w:rPr>
        <w:tab/>
        <w:t xml:space="preserve">    </w:t>
      </w:r>
      <w:r w:rsidRPr="00611752">
        <w:rPr>
          <w:b/>
          <w:sz w:val="22"/>
          <w:szCs w:val="22"/>
        </w:rPr>
        <w:t xml:space="preserve"> </w:t>
      </w:r>
      <w:r w:rsidR="006F7732">
        <w:rPr>
          <w:b/>
          <w:sz w:val="22"/>
          <w:szCs w:val="22"/>
        </w:rPr>
        <w:t xml:space="preserve"> </w:t>
      </w:r>
      <w:r w:rsidRPr="00611752">
        <w:rPr>
          <w:b/>
          <w:sz w:val="22"/>
          <w:szCs w:val="22"/>
        </w:rPr>
        <w:t>Actual</w:t>
      </w:r>
    </w:p>
    <w:p w:rsidR="00D57100" w:rsidRDefault="00D57100" w:rsidP="00D57100">
      <w:pPr>
        <w:rPr>
          <w:rFonts w:ascii="TT3691C3o00" w:hAnsi="TT3691C3o00" w:cs="TT3691C3o00"/>
          <w:b/>
          <w:sz w:val="26"/>
          <w:szCs w:val="26"/>
        </w:rPr>
      </w:pP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r>
      <w:r w:rsidRPr="00611752">
        <w:rPr>
          <w:rFonts w:ascii="TT3691C3o00" w:hAnsi="TT3691C3o00" w:cs="TT3691C3o00"/>
          <w:b/>
          <w:sz w:val="26"/>
          <w:szCs w:val="26"/>
        </w:rPr>
        <w:tab/>
        <w:t xml:space="preserve">    £m        £m</w:t>
      </w:r>
    </w:p>
    <w:p w:rsidR="00D57100" w:rsidRPr="004067DE" w:rsidRDefault="00D57100" w:rsidP="004067DE">
      <w:pPr>
        <w:ind w:firstLine="720"/>
        <w:rPr>
          <w:rFonts w:ascii="TT3691C3o00" w:hAnsi="TT3691C3o00" w:cs="TT3691C3o00"/>
          <w:b/>
          <w:szCs w:val="24"/>
        </w:rPr>
      </w:pPr>
      <w:r w:rsidRPr="008C094C">
        <w:rPr>
          <w:b/>
          <w:szCs w:val="24"/>
          <w:u w:val="single"/>
        </w:rPr>
        <w:t>Prudential Indicators</w:t>
      </w:r>
    </w:p>
    <w:p w:rsidR="00D57100" w:rsidRDefault="00D57100" w:rsidP="00D57100">
      <w:pPr>
        <w:rPr>
          <w:szCs w:val="24"/>
        </w:rPr>
      </w:pPr>
    </w:p>
    <w:p w:rsidR="00D57100" w:rsidRPr="0077166B" w:rsidRDefault="00D57100" w:rsidP="00D57100">
      <w:pPr>
        <w:pStyle w:val="ListParagraph"/>
        <w:numPr>
          <w:ilvl w:val="0"/>
          <w:numId w:val="21"/>
        </w:numPr>
        <w:rPr>
          <w:szCs w:val="24"/>
        </w:rPr>
      </w:pPr>
      <w:r w:rsidRPr="0077166B">
        <w:rPr>
          <w:b/>
          <w:sz w:val="20"/>
        </w:rPr>
        <w:t>Adoption of CIPFA TM Code of Practice</w:t>
      </w:r>
      <w:r w:rsidR="00F651A4" w:rsidRPr="0077166B">
        <w:rPr>
          <w:b/>
          <w:sz w:val="20"/>
        </w:rPr>
        <w:tab/>
      </w:r>
      <w:r w:rsidR="00F651A4" w:rsidRPr="0077166B">
        <w:rPr>
          <w:sz w:val="20"/>
        </w:rPr>
        <w:tab/>
      </w:r>
      <w:r w:rsidR="00F651A4" w:rsidRPr="0077166B">
        <w:rPr>
          <w:sz w:val="20"/>
        </w:rPr>
        <w:tab/>
        <w:t xml:space="preserve">                   </w:t>
      </w:r>
      <w:r w:rsidR="00C126D4" w:rsidRPr="0077166B">
        <w:rPr>
          <w:sz w:val="20"/>
        </w:rPr>
        <w:t xml:space="preserve"> </w:t>
      </w:r>
      <w:r w:rsidR="009E7AAE" w:rsidRPr="0077166B">
        <w:rPr>
          <w:sz w:val="20"/>
        </w:rPr>
        <w:t xml:space="preserve">  </w:t>
      </w:r>
      <w:r w:rsidR="00C126D4" w:rsidRPr="0077166B">
        <w:rPr>
          <w:b/>
          <w:sz w:val="20"/>
        </w:rPr>
        <w:t>ADOPTED</w:t>
      </w:r>
    </w:p>
    <w:p w:rsidR="00D57100" w:rsidRPr="0077166B" w:rsidRDefault="00D57100" w:rsidP="00D57100">
      <w:pPr>
        <w:rPr>
          <w:szCs w:val="24"/>
        </w:rPr>
      </w:pPr>
    </w:p>
    <w:p w:rsidR="00D57100" w:rsidRPr="0077166B" w:rsidRDefault="00D57100" w:rsidP="00D57100">
      <w:pPr>
        <w:pStyle w:val="ListParagraph"/>
        <w:numPr>
          <w:ilvl w:val="0"/>
          <w:numId w:val="21"/>
        </w:numPr>
        <w:rPr>
          <w:szCs w:val="24"/>
        </w:rPr>
      </w:pPr>
      <w:r w:rsidRPr="0077166B">
        <w:rPr>
          <w:b/>
          <w:sz w:val="20"/>
        </w:rPr>
        <w:t>Authorised limit for external debt</w:t>
      </w:r>
      <w:r w:rsidRPr="0077166B">
        <w:rPr>
          <w:sz w:val="20"/>
        </w:rPr>
        <w:t xml:space="preserve"> - A prudent estimate of debt, </w:t>
      </w:r>
      <w:r w:rsidRPr="0077166B">
        <w:rPr>
          <w:sz w:val="20"/>
        </w:rPr>
        <w:tab/>
      </w:r>
      <w:r w:rsidRPr="0077166B">
        <w:rPr>
          <w:sz w:val="20"/>
        </w:rPr>
        <w:tab/>
      </w:r>
    </w:p>
    <w:p w:rsidR="00D57100" w:rsidRPr="0077166B" w:rsidRDefault="00075C29" w:rsidP="00D57100">
      <w:pPr>
        <w:ind w:firstLine="644"/>
        <w:rPr>
          <w:sz w:val="20"/>
        </w:rPr>
      </w:pPr>
      <w:r w:rsidRPr="0077166B">
        <w:rPr>
          <w:sz w:val="20"/>
        </w:rPr>
        <w:t xml:space="preserve"> </w:t>
      </w:r>
      <w:r w:rsidR="00D57100" w:rsidRPr="0077166B">
        <w:rPr>
          <w:sz w:val="20"/>
        </w:rPr>
        <w:t xml:space="preserve">which reflects the Authority’s capital expenditure plans and allows </w:t>
      </w:r>
    </w:p>
    <w:p w:rsidR="00D57100" w:rsidRPr="0077166B" w:rsidRDefault="00075C29" w:rsidP="00D57100">
      <w:pPr>
        <w:ind w:firstLine="644"/>
        <w:rPr>
          <w:szCs w:val="24"/>
        </w:rPr>
      </w:pPr>
      <w:r w:rsidRPr="0077166B">
        <w:rPr>
          <w:sz w:val="20"/>
        </w:rPr>
        <w:t xml:space="preserve"> </w:t>
      </w:r>
      <w:r w:rsidR="00D57100" w:rsidRPr="0077166B">
        <w:rPr>
          <w:sz w:val="20"/>
        </w:rPr>
        <w:t>sufficient headroom for unusual cash movements.</w:t>
      </w:r>
    </w:p>
    <w:p w:rsidR="00D57100" w:rsidRPr="0077166B" w:rsidRDefault="00D57100" w:rsidP="00D57100">
      <w:pPr>
        <w:ind w:left="644"/>
        <w:rPr>
          <w:sz w:val="20"/>
        </w:rPr>
      </w:pPr>
    </w:p>
    <w:p w:rsidR="00AF57C4" w:rsidRPr="0077166B" w:rsidRDefault="00075C29" w:rsidP="00D57100">
      <w:pPr>
        <w:ind w:left="644"/>
        <w:rPr>
          <w:sz w:val="20"/>
        </w:rPr>
      </w:pPr>
      <w:r w:rsidRPr="0077166B">
        <w:rPr>
          <w:sz w:val="20"/>
        </w:rPr>
        <w:t xml:space="preserve">  </w:t>
      </w:r>
      <w:r w:rsidR="00D57100" w:rsidRPr="0077166B">
        <w:rPr>
          <w:sz w:val="20"/>
        </w:rPr>
        <w:t>Borrowing</w:t>
      </w:r>
      <w:r w:rsidR="00D57100" w:rsidRPr="0077166B">
        <w:rPr>
          <w:sz w:val="20"/>
        </w:rPr>
        <w:tab/>
      </w:r>
      <w:r w:rsidR="00D57100" w:rsidRPr="0077166B">
        <w:rPr>
          <w:sz w:val="20"/>
        </w:rPr>
        <w:tab/>
      </w:r>
      <w:r w:rsidR="00D57100" w:rsidRPr="0077166B">
        <w:rPr>
          <w:sz w:val="20"/>
        </w:rPr>
        <w:tab/>
      </w:r>
      <w:r w:rsidR="00D57100" w:rsidRPr="0077166B">
        <w:rPr>
          <w:sz w:val="20"/>
        </w:rPr>
        <w:tab/>
      </w:r>
      <w:r w:rsidR="00D57100" w:rsidRPr="0077166B">
        <w:rPr>
          <w:sz w:val="20"/>
        </w:rPr>
        <w:tab/>
      </w:r>
      <w:r w:rsidR="00D57100" w:rsidRPr="0077166B">
        <w:rPr>
          <w:sz w:val="20"/>
        </w:rPr>
        <w:tab/>
      </w:r>
      <w:r w:rsidR="00D57100" w:rsidRPr="0077166B">
        <w:rPr>
          <w:sz w:val="20"/>
        </w:rPr>
        <w:tab/>
      </w:r>
      <w:r w:rsidR="00D57100" w:rsidRPr="0077166B">
        <w:rPr>
          <w:sz w:val="20"/>
        </w:rPr>
        <w:tab/>
        <w:t xml:space="preserve">  </w:t>
      </w:r>
      <w:r w:rsidR="006F7732" w:rsidRPr="0077166B">
        <w:rPr>
          <w:sz w:val="20"/>
        </w:rPr>
        <w:t xml:space="preserve">  </w:t>
      </w:r>
      <w:r w:rsidR="00D57100" w:rsidRPr="0077166B">
        <w:rPr>
          <w:sz w:val="20"/>
        </w:rPr>
        <w:t xml:space="preserve"> 891</w:t>
      </w:r>
      <w:r w:rsidR="00D57100" w:rsidRPr="0077166B">
        <w:rPr>
          <w:sz w:val="20"/>
        </w:rPr>
        <w:tab/>
        <w:t xml:space="preserve">         </w:t>
      </w:r>
      <w:r w:rsidR="006F7732" w:rsidRPr="0077166B">
        <w:rPr>
          <w:sz w:val="20"/>
        </w:rPr>
        <w:t xml:space="preserve">  </w:t>
      </w:r>
      <w:r w:rsidR="00D57100" w:rsidRPr="0077166B">
        <w:rPr>
          <w:sz w:val="20"/>
        </w:rPr>
        <w:t>815</w:t>
      </w:r>
    </w:p>
    <w:p w:rsidR="00D57100" w:rsidRPr="0077166B" w:rsidRDefault="00D57100" w:rsidP="00D57100">
      <w:pPr>
        <w:ind w:left="644"/>
        <w:rPr>
          <w:sz w:val="20"/>
        </w:rPr>
      </w:pPr>
    </w:p>
    <w:p w:rsidR="00D57100" w:rsidRDefault="00075C29" w:rsidP="00D57100">
      <w:pPr>
        <w:ind w:left="644"/>
        <w:rPr>
          <w:sz w:val="20"/>
        </w:rPr>
      </w:pPr>
      <w:r w:rsidRPr="0077166B">
        <w:rPr>
          <w:sz w:val="20"/>
        </w:rPr>
        <w:t xml:space="preserve">  </w:t>
      </w:r>
      <w:r w:rsidR="00D57100" w:rsidRPr="0077166B">
        <w:rPr>
          <w:sz w:val="20"/>
        </w:rPr>
        <w:t>Other long-term liabilities (PFI schemes)</w:t>
      </w:r>
      <w:r w:rsidRPr="0077166B">
        <w:rPr>
          <w:sz w:val="20"/>
        </w:rPr>
        <w:tab/>
      </w:r>
      <w:r w:rsidRPr="0077166B">
        <w:rPr>
          <w:sz w:val="20"/>
        </w:rPr>
        <w:tab/>
      </w:r>
      <w:r w:rsidRPr="0077166B">
        <w:rPr>
          <w:sz w:val="20"/>
        </w:rPr>
        <w:tab/>
      </w:r>
      <w:r w:rsidRPr="0077166B">
        <w:rPr>
          <w:sz w:val="20"/>
        </w:rPr>
        <w:tab/>
        <w:t xml:space="preserve">    </w:t>
      </w:r>
      <w:r w:rsidR="006F7732" w:rsidRPr="0077166B">
        <w:rPr>
          <w:sz w:val="20"/>
        </w:rPr>
        <w:t xml:space="preserve"> </w:t>
      </w:r>
      <w:r w:rsidR="00D57100" w:rsidRPr="0077166B">
        <w:rPr>
          <w:sz w:val="20"/>
        </w:rPr>
        <w:t>500</w:t>
      </w:r>
      <w:r w:rsidR="00D57100" w:rsidRPr="0077166B">
        <w:rPr>
          <w:sz w:val="20"/>
        </w:rPr>
        <w:tab/>
        <w:t xml:space="preserve">        </w:t>
      </w:r>
      <w:r w:rsidR="006F7732" w:rsidRPr="0077166B">
        <w:rPr>
          <w:sz w:val="20"/>
        </w:rPr>
        <w:t xml:space="preserve">  </w:t>
      </w:r>
      <w:r w:rsidR="00D57100" w:rsidRPr="0077166B">
        <w:rPr>
          <w:sz w:val="20"/>
        </w:rPr>
        <w:t xml:space="preserve"> </w:t>
      </w:r>
      <w:r w:rsidR="007254AB">
        <w:rPr>
          <w:sz w:val="20"/>
        </w:rPr>
        <w:t>395</w:t>
      </w:r>
    </w:p>
    <w:p w:rsidR="007254AB" w:rsidRPr="0077166B" w:rsidRDefault="007254AB" w:rsidP="00D57100">
      <w:pPr>
        <w:ind w:left="644"/>
        <w:rPr>
          <w:sz w:val="20"/>
        </w:rPr>
      </w:pPr>
    </w:p>
    <w:p w:rsidR="00D57100" w:rsidRPr="0077166B" w:rsidRDefault="00075C29" w:rsidP="00D57100">
      <w:pPr>
        <w:ind w:left="644"/>
        <w:rPr>
          <w:b/>
          <w:szCs w:val="24"/>
        </w:rPr>
      </w:pPr>
      <w:r w:rsidRPr="0077166B">
        <w:rPr>
          <w:b/>
          <w:sz w:val="20"/>
        </w:rPr>
        <w:t xml:space="preserve">  </w:t>
      </w:r>
      <w:r w:rsidR="00D57100" w:rsidRPr="0077166B">
        <w:rPr>
          <w:b/>
          <w:sz w:val="20"/>
        </w:rPr>
        <w:t>TOTAL</w:t>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D57100" w:rsidRPr="0077166B">
        <w:rPr>
          <w:b/>
          <w:sz w:val="20"/>
        </w:rPr>
        <w:tab/>
      </w:r>
      <w:r w:rsidR="006F7732" w:rsidRPr="0077166B">
        <w:rPr>
          <w:b/>
          <w:sz w:val="20"/>
        </w:rPr>
        <w:t xml:space="preserve">  </w:t>
      </w:r>
      <w:r w:rsidR="00D57100" w:rsidRPr="0077166B">
        <w:rPr>
          <w:b/>
          <w:sz w:val="20"/>
        </w:rPr>
        <w:t>1,391</w:t>
      </w:r>
      <w:r w:rsidR="00D57100" w:rsidRPr="0077166B">
        <w:rPr>
          <w:b/>
          <w:sz w:val="20"/>
        </w:rPr>
        <w:tab/>
        <w:t xml:space="preserve">      </w:t>
      </w:r>
      <w:r w:rsidR="006F7732" w:rsidRPr="0077166B">
        <w:rPr>
          <w:b/>
          <w:sz w:val="20"/>
        </w:rPr>
        <w:t xml:space="preserve">  </w:t>
      </w:r>
      <w:r w:rsidR="00D57100" w:rsidRPr="0077166B">
        <w:rPr>
          <w:b/>
          <w:sz w:val="20"/>
        </w:rPr>
        <w:t>1,2</w:t>
      </w:r>
      <w:r w:rsidR="007254AB">
        <w:rPr>
          <w:b/>
          <w:sz w:val="20"/>
        </w:rPr>
        <w:t>10</w:t>
      </w:r>
    </w:p>
    <w:p w:rsidR="00C126D4" w:rsidRPr="0077166B" w:rsidRDefault="00C126D4" w:rsidP="00E362C7">
      <w:pPr>
        <w:rPr>
          <w:b/>
          <w:szCs w:val="24"/>
        </w:rPr>
      </w:pPr>
    </w:p>
    <w:p w:rsidR="00C126D4" w:rsidRPr="0077166B" w:rsidRDefault="00C126D4" w:rsidP="00E362C7">
      <w:pPr>
        <w:rPr>
          <w:b/>
          <w:szCs w:val="24"/>
        </w:rPr>
      </w:pPr>
    </w:p>
    <w:p w:rsidR="00C126D4" w:rsidRPr="0077166B" w:rsidRDefault="00C126D4" w:rsidP="008C094C">
      <w:pPr>
        <w:pStyle w:val="ListParagraph"/>
        <w:numPr>
          <w:ilvl w:val="0"/>
          <w:numId w:val="21"/>
        </w:numPr>
        <w:tabs>
          <w:tab w:val="left" w:pos="426"/>
        </w:tabs>
        <w:rPr>
          <w:b/>
          <w:szCs w:val="24"/>
        </w:rPr>
      </w:pPr>
      <w:r w:rsidRPr="0077166B">
        <w:rPr>
          <w:b/>
          <w:sz w:val="20"/>
        </w:rPr>
        <w:t>Operational boundary for external debt</w:t>
      </w:r>
      <w:r w:rsidRPr="0077166B">
        <w:rPr>
          <w:sz w:val="20"/>
        </w:rPr>
        <w:t xml:space="preserve"> - A prudent estimate </w:t>
      </w:r>
    </w:p>
    <w:p w:rsidR="00C126D4" w:rsidRPr="0077166B" w:rsidRDefault="00124AD6" w:rsidP="00C126D4">
      <w:pPr>
        <w:pStyle w:val="ListParagraph"/>
        <w:ind w:left="644"/>
        <w:rPr>
          <w:sz w:val="20"/>
        </w:rPr>
      </w:pPr>
      <w:r w:rsidRPr="0077166B">
        <w:rPr>
          <w:sz w:val="20"/>
        </w:rPr>
        <w:t xml:space="preserve">  </w:t>
      </w:r>
      <w:r w:rsidR="00075C29" w:rsidRPr="0077166B">
        <w:rPr>
          <w:sz w:val="20"/>
        </w:rPr>
        <w:t xml:space="preserve"> </w:t>
      </w:r>
      <w:r w:rsidR="00C126D4" w:rsidRPr="0077166B">
        <w:rPr>
          <w:sz w:val="20"/>
        </w:rPr>
        <w:t xml:space="preserve">of debt, but no provision for unusual cash movements.  It </w:t>
      </w:r>
    </w:p>
    <w:p w:rsidR="00C126D4" w:rsidRPr="0077166B" w:rsidRDefault="00124AD6" w:rsidP="00C126D4">
      <w:pPr>
        <w:pStyle w:val="ListParagraph"/>
        <w:ind w:left="644"/>
        <w:rPr>
          <w:sz w:val="20"/>
        </w:rPr>
      </w:pPr>
      <w:r w:rsidRPr="0077166B">
        <w:rPr>
          <w:sz w:val="20"/>
        </w:rPr>
        <w:t xml:space="preserve">  </w:t>
      </w:r>
      <w:r w:rsidR="00075C29" w:rsidRPr="0077166B">
        <w:rPr>
          <w:sz w:val="20"/>
        </w:rPr>
        <w:t xml:space="preserve"> </w:t>
      </w:r>
      <w:r w:rsidR="00C126D4" w:rsidRPr="0077166B">
        <w:rPr>
          <w:sz w:val="20"/>
        </w:rPr>
        <w:t xml:space="preserve">represents the estimated maximum external debt arising as </w:t>
      </w:r>
    </w:p>
    <w:p w:rsidR="00C126D4" w:rsidRPr="0077166B" w:rsidRDefault="00124AD6" w:rsidP="00C126D4">
      <w:pPr>
        <w:pStyle w:val="ListParagraph"/>
        <w:ind w:left="644"/>
        <w:rPr>
          <w:sz w:val="20"/>
        </w:rPr>
      </w:pPr>
      <w:r w:rsidRPr="0077166B">
        <w:rPr>
          <w:sz w:val="20"/>
        </w:rPr>
        <w:t xml:space="preserve">  </w:t>
      </w:r>
      <w:r w:rsidR="00075C29" w:rsidRPr="0077166B">
        <w:rPr>
          <w:sz w:val="20"/>
        </w:rPr>
        <w:t xml:space="preserve"> </w:t>
      </w:r>
      <w:r w:rsidR="00C126D4" w:rsidRPr="0077166B">
        <w:rPr>
          <w:sz w:val="20"/>
        </w:rPr>
        <w:t>a consequence of the County Council's current plans.</w:t>
      </w:r>
    </w:p>
    <w:p w:rsidR="00C126D4" w:rsidRPr="0077166B" w:rsidRDefault="00C126D4" w:rsidP="00C126D4">
      <w:pPr>
        <w:rPr>
          <w:sz w:val="20"/>
        </w:rPr>
      </w:pPr>
    </w:p>
    <w:p w:rsidR="00C126D4" w:rsidRPr="0077166B" w:rsidRDefault="00075C29" w:rsidP="00C126D4">
      <w:pPr>
        <w:ind w:left="644"/>
        <w:rPr>
          <w:sz w:val="20"/>
        </w:rPr>
      </w:pPr>
      <w:r w:rsidRPr="0077166B">
        <w:rPr>
          <w:sz w:val="20"/>
        </w:rPr>
        <w:t xml:space="preserve">   </w:t>
      </w:r>
      <w:r w:rsidR="00C126D4" w:rsidRPr="0077166B">
        <w:rPr>
          <w:sz w:val="20"/>
        </w:rPr>
        <w:t>Borrowing</w:t>
      </w:r>
      <w:r w:rsidR="00C126D4" w:rsidRPr="0077166B">
        <w:rPr>
          <w:sz w:val="20"/>
        </w:rPr>
        <w:tab/>
      </w:r>
      <w:r w:rsidR="00C126D4" w:rsidRPr="0077166B">
        <w:rPr>
          <w:sz w:val="20"/>
        </w:rPr>
        <w:tab/>
      </w:r>
      <w:r w:rsidR="00C126D4" w:rsidRPr="0077166B">
        <w:rPr>
          <w:sz w:val="20"/>
        </w:rPr>
        <w:tab/>
      </w:r>
      <w:r w:rsidR="00C126D4" w:rsidRPr="0077166B">
        <w:rPr>
          <w:sz w:val="20"/>
        </w:rPr>
        <w:tab/>
      </w:r>
      <w:r w:rsidR="00C126D4" w:rsidRPr="0077166B">
        <w:rPr>
          <w:sz w:val="20"/>
        </w:rPr>
        <w:tab/>
      </w:r>
      <w:r w:rsidR="00C126D4" w:rsidRPr="0077166B">
        <w:rPr>
          <w:sz w:val="20"/>
        </w:rPr>
        <w:tab/>
      </w:r>
      <w:r w:rsidR="00C126D4" w:rsidRPr="0077166B">
        <w:rPr>
          <w:sz w:val="20"/>
        </w:rPr>
        <w:tab/>
      </w:r>
      <w:r w:rsidR="00C126D4" w:rsidRPr="0077166B">
        <w:rPr>
          <w:sz w:val="20"/>
        </w:rPr>
        <w:tab/>
        <w:t xml:space="preserve">   </w:t>
      </w:r>
      <w:r w:rsidR="006F7732" w:rsidRPr="0077166B">
        <w:rPr>
          <w:sz w:val="20"/>
        </w:rPr>
        <w:t xml:space="preserve"> </w:t>
      </w:r>
      <w:r w:rsidR="00C126D4" w:rsidRPr="0077166B">
        <w:rPr>
          <w:sz w:val="20"/>
        </w:rPr>
        <w:t>8</w:t>
      </w:r>
      <w:r w:rsidR="0042450E" w:rsidRPr="0077166B">
        <w:rPr>
          <w:sz w:val="20"/>
        </w:rPr>
        <w:t>4</w:t>
      </w:r>
      <w:r w:rsidR="00C126D4" w:rsidRPr="0077166B">
        <w:rPr>
          <w:sz w:val="20"/>
        </w:rPr>
        <w:t>1</w:t>
      </w:r>
      <w:r w:rsidR="00C126D4" w:rsidRPr="0077166B">
        <w:rPr>
          <w:sz w:val="20"/>
        </w:rPr>
        <w:tab/>
        <w:t xml:space="preserve">        </w:t>
      </w:r>
      <w:r w:rsidR="006F7732" w:rsidRPr="0077166B">
        <w:rPr>
          <w:sz w:val="20"/>
        </w:rPr>
        <w:t xml:space="preserve">  </w:t>
      </w:r>
      <w:r w:rsidR="00C126D4" w:rsidRPr="0077166B">
        <w:rPr>
          <w:sz w:val="20"/>
        </w:rPr>
        <w:t xml:space="preserve"> 815</w:t>
      </w:r>
    </w:p>
    <w:p w:rsidR="00C126D4" w:rsidRPr="0077166B" w:rsidRDefault="00C126D4" w:rsidP="00C126D4">
      <w:pPr>
        <w:ind w:left="644"/>
        <w:rPr>
          <w:sz w:val="20"/>
        </w:rPr>
      </w:pPr>
    </w:p>
    <w:p w:rsidR="00C126D4" w:rsidRPr="0077166B" w:rsidRDefault="00075C29" w:rsidP="00C126D4">
      <w:pPr>
        <w:ind w:left="644"/>
        <w:rPr>
          <w:sz w:val="20"/>
        </w:rPr>
      </w:pPr>
      <w:r w:rsidRPr="0077166B">
        <w:rPr>
          <w:sz w:val="20"/>
        </w:rPr>
        <w:t xml:space="preserve">  </w:t>
      </w:r>
      <w:r w:rsidR="001124B0" w:rsidRPr="0077166B">
        <w:rPr>
          <w:sz w:val="20"/>
        </w:rPr>
        <w:t xml:space="preserve"> </w:t>
      </w:r>
      <w:r w:rsidR="00C126D4" w:rsidRPr="0077166B">
        <w:rPr>
          <w:sz w:val="20"/>
        </w:rPr>
        <w:t>Other long-term liabilities (PFI schemes)</w:t>
      </w:r>
      <w:r w:rsidRPr="0077166B">
        <w:rPr>
          <w:sz w:val="20"/>
        </w:rPr>
        <w:tab/>
      </w:r>
      <w:r w:rsidRPr="0077166B">
        <w:rPr>
          <w:sz w:val="20"/>
        </w:rPr>
        <w:tab/>
      </w:r>
      <w:r w:rsidRPr="0077166B">
        <w:rPr>
          <w:sz w:val="20"/>
        </w:rPr>
        <w:tab/>
      </w:r>
      <w:r w:rsidRPr="0077166B">
        <w:rPr>
          <w:sz w:val="20"/>
        </w:rPr>
        <w:tab/>
        <w:t xml:space="preserve">    </w:t>
      </w:r>
      <w:r w:rsidR="0042450E" w:rsidRPr="0077166B">
        <w:rPr>
          <w:sz w:val="20"/>
        </w:rPr>
        <w:t>450</w:t>
      </w:r>
      <w:r w:rsidR="00C126D4" w:rsidRPr="0077166B">
        <w:rPr>
          <w:sz w:val="20"/>
        </w:rPr>
        <w:tab/>
        <w:t xml:space="preserve">        </w:t>
      </w:r>
      <w:r w:rsidR="006F7732" w:rsidRPr="0077166B">
        <w:rPr>
          <w:sz w:val="20"/>
        </w:rPr>
        <w:t xml:space="preserve">  </w:t>
      </w:r>
      <w:r w:rsidR="00C126D4" w:rsidRPr="0077166B">
        <w:rPr>
          <w:sz w:val="20"/>
        </w:rPr>
        <w:t xml:space="preserve"> </w:t>
      </w:r>
      <w:r w:rsidR="007254AB">
        <w:rPr>
          <w:sz w:val="20"/>
        </w:rPr>
        <w:t>395</w:t>
      </w:r>
    </w:p>
    <w:p w:rsidR="00C126D4" w:rsidRPr="0077166B" w:rsidRDefault="00C126D4" w:rsidP="00C126D4">
      <w:pPr>
        <w:ind w:left="644"/>
        <w:rPr>
          <w:sz w:val="20"/>
        </w:rPr>
      </w:pPr>
    </w:p>
    <w:p w:rsidR="00C126D4" w:rsidRPr="0077166B" w:rsidRDefault="00075C29" w:rsidP="00C126D4">
      <w:pPr>
        <w:ind w:left="644"/>
        <w:rPr>
          <w:b/>
          <w:szCs w:val="24"/>
        </w:rPr>
      </w:pPr>
      <w:r w:rsidRPr="0077166B">
        <w:rPr>
          <w:b/>
          <w:sz w:val="20"/>
        </w:rPr>
        <w:t xml:space="preserve">  </w:t>
      </w:r>
      <w:r w:rsidR="00E7693B" w:rsidRPr="0077166B">
        <w:rPr>
          <w:b/>
          <w:sz w:val="20"/>
        </w:rPr>
        <w:t xml:space="preserve"> TOTAL</w:t>
      </w:r>
      <w:r w:rsidR="00E7693B" w:rsidRPr="0077166B">
        <w:rPr>
          <w:b/>
          <w:sz w:val="20"/>
        </w:rPr>
        <w:tab/>
      </w:r>
      <w:r w:rsidR="00C126D4" w:rsidRPr="0077166B">
        <w:rPr>
          <w:b/>
          <w:sz w:val="20"/>
        </w:rPr>
        <w:tab/>
      </w:r>
      <w:r w:rsidR="00C126D4" w:rsidRPr="0077166B">
        <w:rPr>
          <w:b/>
          <w:sz w:val="20"/>
        </w:rPr>
        <w:tab/>
      </w:r>
      <w:r w:rsidR="00C126D4" w:rsidRPr="0077166B">
        <w:rPr>
          <w:b/>
          <w:sz w:val="20"/>
        </w:rPr>
        <w:tab/>
      </w:r>
      <w:r w:rsidR="00C126D4" w:rsidRPr="0077166B">
        <w:rPr>
          <w:b/>
          <w:sz w:val="20"/>
        </w:rPr>
        <w:tab/>
      </w:r>
      <w:r w:rsidR="00C126D4" w:rsidRPr="0077166B">
        <w:rPr>
          <w:b/>
          <w:sz w:val="20"/>
        </w:rPr>
        <w:tab/>
      </w:r>
      <w:r w:rsidR="00C126D4" w:rsidRPr="0077166B">
        <w:rPr>
          <w:b/>
          <w:sz w:val="20"/>
        </w:rPr>
        <w:tab/>
      </w:r>
      <w:r w:rsidR="00C126D4" w:rsidRPr="0077166B">
        <w:rPr>
          <w:b/>
          <w:sz w:val="20"/>
        </w:rPr>
        <w:tab/>
      </w:r>
      <w:r w:rsidR="006F7732" w:rsidRPr="0077166B">
        <w:rPr>
          <w:b/>
          <w:sz w:val="20"/>
        </w:rPr>
        <w:t xml:space="preserve"> </w:t>
      </w:r>
      <w:r w:rsidR="00C126D4" w:rsidRPr="0077166B">
        <w:rPr>
          <w:b/>
          <w:sz w:val="20"/>
        </w:rPr>
        <w:t>1,</w:t>
      </w:r>
      <w:r w:rsidR="0042450E" w:rsidRPr="0077166B">
        <w:rPr>
          <w:b/>
          <w:sz w:val="20"/>
        </w:rPr>
        <w:t>2</w:t>
      </w:r>
      <w:r w:rsidR="00C126D4" w:rsidRPr="0077166B">
        <w:rPr>
          <w:b/>
          <w:sz w:val="20"/>
        </w:rPr>
        <w:t>91</w:t>
      </w:r>
      <w:r w:rsidR="00C126D4" w:rsidRPr="0077166B">
        <w:rPr>
          <w:b/>
          <w:sz w:val="20"/>
        </w:rPr>
        <w:tab/>
        <w:t xml:space="preserve">     </w:t>
      </w:r>
      <w:r w:rsidR="006F7732" w:rsidRPr="0077166B">
        <w:rPr>
          <w:b/>
          <w:sz w:val="20"/>
        </w:rPr>
        <w:t xml:space="preserve">  </w:t>
      </w:r>
      <w:r w:rsidR="00C126D4" w:rsidRPr="0077166B">
        <w:rPr>
          <w:b/>
          <w:sz w:val="20"/>
        </w:rPr>
        <w:t xml:space="preserve"> 1,2</w:t>
      </w:r>
      <w:r w:rsidR="007254AB">
        <w:rPr>
          <w:b/>
          <w:sz w:val="20"/>
        </w:rPr>
        <w:t>10</w:t>
      </w:r>
    </w:p>
    <w:p w:rsidR="00C126D4" w:rsidRPr="0077166B" w:rsidRDefault="00C126D4" w:rsidP="00C126D4">
      <w:pPr>
        <w:rPr>
          <w:b/>
          <w:szCs w:val="24"/>
        </w:rPr>
      </w:pPr>
    </w:p>
    <w:p w:rsidR="00C126D4" w:rsidRPr="0077166B" w:rsidRDefault="00C126D4" w:rsidP="008C094C">
      <w:pPr>
        <w:pStyle w:val="ListParagraph"/>
        <w:numPr>
          <w:ilvl w:val="0"/>
          <w:numId w:val="21"/>
        </w:numPr>
        <w:spacing w:after="120"/>
        <w:rPr>
          <w:rFonts w:cs="Arial"/>
          <w:b/>
          <w:sz w:val="20"/>
        </w:rPr>
      </w:pPr>
      <w:r w:rsidRPr="0077166B">
        <w:rPr>
          <w:rFonts w:cs="Arial"/>
          <w:b/>
          <w:sz w:val="20"/>
        </w:rPr>
        <w:t>Indicators of</w:t>
      </w:r>
      <w:r w:rsidRPr="0077166B">
        <w:rPr>
          <w:b/>
          <w:szCs w:val="24"/>
        </w:rPr>
        <w:t xml:space="preserve"> </w:t>
      </w:r>
      <w:r w:rsidRPr="0077166B">
        <w:rPr>
          <w:rFonts w:cs="Arial"/>
          <w:b/>
          <w:sz w:val="20"/>
        </w:rPr>
        <w:t>Capital Expenditure and Financing</w:t>
      </w:r>
    </w:p>
    <w:p w:rsidR="008C094C" w:rsidRPr="0077166B" w:rsidRDefault="008C094C" w:rsidP="008C094C">
      <w:pPr>
        <w:pStyle w:val="ListParagraph"/>
        <w:spacing w:after="120"/>
        <w:ind w:left="644"/>
        <w:rPr>
          <w:rFonts w:cs="Arial"/>
          <w:b/>
          <w:sz w:val="20"/>
          <w:u w:val="single"/>
        </w:rPr>
      </w:pPr>
    </w:p>
    <w:p w:rsidR="008C094C" w:rsidRPr="0077166B" w:rsidRDefault="00075C29" w:rsidP="005B5F7A">
      <w:pPr>
        <w:pStyle w:val="ListParagraph"/>
        <w:spacing w:after="120"/>
        <w:ind w:left="644"/>
        <w:rPr>
          <w:rFonts w:cs="Arial"/>
          <w:sz w:val="20"/>
        </w:rPr>
      </w:pPr>
      <w:r w:rsidRPr="0077166B">
        <w:rPr>
          <w:rFonts w:cs="Arial"/>
          <w:sz w:val="20"/>
        </w:rPr>
        <w:t xml:space="preserve">  </w:t>
      </w:r>
      <w:r w:rsidR="008C094C" w:rsidRPr="0077166B">
        <w:rPr>
          <w:rFonts w:cs="Arial"/>
          <w:sz w:val="20"/>
        </w:rPr>
        <w:t>Capital Programme Expenditure</w:t>
      </w:r>
      <w:r w:rsidRPr="0077166B">
        <w:rPr>
          <w:rFonts w:cs="Arial"/>
          <w:sz w:val="20"/>
        </w:rPr>
        <w:tab/>
      </w:r>
      <w:r w:rsidRPr="0077166B">
        <w:rPr>
          <w:rFonts w:cs="Arial"/>
          <w:sz w:val="20"/>
        </w:rPr>
        <w:tab/>
      </w:r>
      <w:r w:rsidRPr="0077166B">
        <w:rPr>
          <w:rFonts w:cs="Arial"/>
          <w:sz w:val="20"/>
        </w:rPr>
        <w:tab/>
      </w:r>
      <w:r w:rsidRPr="0077166B">
        <w:rPr>
          <w:rFonts w:cs="Arial"/>
          <w:sz w:val="20"/>
        </w:rPr>
        <w:tab/>
      </w:r>
      <w:r w:rsidRPr="0077166B">
        <w:rPr>
          <w:rFonts w:cs="Arial"/>
          <w:sz w:val="20"/>
        </w:rPr>
        <w:tab/>
        <w:t xml:space="preserve">   </w:t>
      </w:r>
      <w:r w:rsidR="008C094C" w:rsidRPr="0077166B">
        <w:rPr>
          <w:rFonts w:cs="Arial"/>
          <w:sz w:val="20"/>
        </w:rPr>
        <w:t>16</w:t>
      </w:r>
      <w:r w:rsidR="0042450E" w:rsidRPr="0077166B">
        <w:rPr>
          <w:rFonts w:cs="Arial"/>
          <w:sz w:val="20"/>
        </w:rPr>
        <w:t>6</w:t>
      </w:r>
      <w:r w:rsidR="008C094C" w:rsidRPr="0077166B">
        <w:rPr>
          <w:rFonts w:cs="Arial"/>
          <w:sz w:val="20"/>
        </w:rPr>
        <w:tab/>
        <w:t xml:space="preserve">           154</w:t>
      </w:r>
    </w:p>
    <w:p w:rsidR="005B5F7A" w:rsidRPr="0077166B" w:rsidRDefault="00075C29" w:rsidP="008C094C">
      <w:pPr>
        <w:pStyle w:val="ListParagraph"/>
        <w:spacing w:after="120"/>
        <w:ind w:left="644"/>
        <w:rPr>
          <w:rFonts w:cs="Arial"/>
          <w:sz w:val="20"/>
        </w:rPr>
      </w:pPr>
      <w:r w:rsidRPr="0077166B">
        <w:rPr>
          <w:rFonts w:cs="Arial"/>
          <w:sz w:val="20"/>
        </w:rPr>
        <w:t xml:space="preserve"> </w:t>
      </w:r>
    </w:p>
    <w:p w:rsidR="008C094C" w:rsidRPr="0077166B" w:rsidRDefault="00075C29" w:rsidP="008C094C">
      <w:pPr>
        <w:pStyle w:val="ListParagraph"/>
        <w:spacing w:after="120"/>
        <w:ind w:left="644"/>
        <w:rPr>
          <w:rFonts w:cs="Arial"/>
          <w:sz w:val="20"/>
        </w:rPr>
      </w:pPr>
      <w:r w:rsidRPr="0077166B">
        <w:rPr>
          <w:rFonts w:cs="Arial"/>
          <w:sz w:val="20"/>
        </w:rPr>
        <w:t xml:space="preserve"> </w:t>
      </w:r>
      <w:r w:rsidR="004067DE" w:rsidRPr="0077166B">
        <w:rPr>
          <w:rFonts w:cs="Arial"/>
          <w:sz w:val="20"/>
        </w:rPr>
        <w:t xml:space="preserve"> </w:t>
      </w:r>
      <w:r w:rsidR="008C094C" w:rsidRPr="0077166B">
        <w:rPr>
          <w:rFonts w:cs="Arial"/>
          <w:sz w:val="20"/>
        </w:rPr>
        <w:t>Capital Financing Requirement</w:t>
      </w:r>
      <w:r w:rsidR="008C094C" w:rsidRPr="0077166B">
        <w:rPr>
          <w:rFonts w:cs="Arial"/>
          <w:sz w:val="20"/>
        </w:rPr>
        <w:tab/>
      </w:r>
      <w:r w:rsidR="008C094C" w:rsidRPr="0077166B">
        <w:rPr>
          <w:rFonts w:cs="Arial"/>
          <w:sz w:val="20"/>
        </w:rPr>
        <w:tab/>
      </w:r>
      <w:r w:rsidR="008C094C" w:rsidRPr="0077166B">
        <w:rPr>
          <w:rFonts w:cs="Arial"/>
          <w:sz w:val="20"/>
        </w:rPr>
        <w:tab/>
      </w:r>
      <w:r w:rsidR="008C094C" w:rsidRPr="0077166B">
        <w:rPr>
          <w:rFonts w:cs="Arial"/>
          <w:sz w:val="20"/>
        </w:rPr>
        <w:tab/>
      </w:r>
      <w:r w:rsidR="008C094C" w:rsidRPr="0077166B">
        <w:rPr>
          <w:rFonts w:cs="Arial"/>
          <w:sz w:val="20"/>
        </w:rPr>
        <w:tab/>
      </w:r>
      <w:r w:rsidR="008C094C" w:rsidRPr="0077166B">
        <w:rPr>
          <w:rFonts w:cs="Arial"/>
          <w:sz w:val="20"/>
        </w:rPr>
        <w:tab/>
        <w:t>1,0</w:t>
      </w:r>
      <w:r w:rsidR="0042450E" w:rsidRPr="0077166B">
        <w:rPr>
          <w:rFonts w:cs="Arial"/>
          <w:sz w:val="20"/>
        </w:rPr>
        <w:t>19</w:t>
      </w:r>
      <w:r w:rsidR="008C094C" w:rsidRPr="0077166B">
        <w:rPr>
          <w:rFonts w:cs="Arial"/>
          <w:sz w:val="20"/>
        </w:rPr>
        <w:tab/>
        <w:t xml:space="preserve">        1,038</w:t>
      </w:r>
    </w:p>
    <w:p w:rsidR="005B5F7A" w:rsidRPr="0077166B" w:rsidRDefault="008C094C" w:rsidP="008C094C">
      <w:pPr>
        <w:pStyle w:val="ListParagraph"/>
        <w:spacing w:after="120"/>
        <w:ind w:left="66"/>
        <w:rPr>
          <w:rFonts w:cs="Arial"/>
          <w:sz w:val="20"/>
        </w:rPr>
      </w:pPr>
      <w:r w:rsidRPr="0077166B">
        <w:rPr>
          <w:rFonts w:cs="Arial"/>
          <w:sz w:val="20"/>
        </w:rPr>
        <w:t xml:space="preserve">          </w:t>
      </w:r>
      <w:r w:rsidR="00075C29" w:rsidRPr="0077166B">
        <w:rPr>
          <w:rFonts w:cs="Arial"/>
          <w:sz w:val="20"/>
        </w:rPr>
        <w:t xml:space="preserve"> </w:t>
      </w:r>
    </w:p>
    <w:p w:rsidR="008C094C" w:rsidRPr="0077166B" w:rsidRDefault="004067DE" w:rsidP="005B5F7A">
      <w:pPr>
        <w:pStyle w:val="ListParagraph"/>
        <w:spacing w:after="120"/>
        <w:ind w:left="66" w:firstLine="654"/>
        <w:rPr>
          <w:rFonts w:ascii="TT3691B0o00" w:hAnsi="TT3691B0o00" w:cs="TT3691B0o00"/>
          <w:sz w:val="26"/>
          <w:szCs w:val="26"/>
        </w:rPr>
      </w:pPr>
      <w:r w:rsidRPr="0077166B">
        <w:rPr>
          <w:rFonts w:cs="Arial"/>
          <w:sz w:val="20"/>
        </w:rPr>
        <w:lastRenderedPageBreak/>
        <w:t xml:space="preserve"> </w:t>
      </w:r>
      <w:r w:rsidR="008C094C" w:rsidRPr="0077166B">
        <w:rPr>
          <w:rFonts w:cs="Arial"/>
          <w:sz w:val="20"/>
        </w:rPr>
        <w:t>Ratio of Gross Debt to CFR</w:t>
      </w:r>
      <w:r w:rsidR="00BC03DE">
        <w:rPr>
          <w:rFonts w:cs="Arial"/>
          <w:sz w:val="20"/>
        </w:rPr>
        <w:t>*</w:t>
      </w:r>
      <w:r w:rsidR="00AD4E55">
        <w:rPr>
          <w:rFonts w:cs="Arial"/>
          <w:sz w:val="20"/>
        </w:rPr>
        <w:tab/>
      </w:r>
      <w:r w:rsidR="00AD4E55">
        <w:rPr>
          <w:rFonts w:cs="Arial"/>
          <w:sz w:val="20"/>
        </w:rPr>
        <w:tab/>
      </w:r>
      <w:r w:rsidR="00AD4E55">
        <w:rPr>
          <w:rFonts w:cs="Arial"/>
          <w:sz w:val="20"/>
        </w:rPr>
        <w:tab/>
      </w:r>
      <w:r w:rsidR="00AD4E55">
        <w:rPr>
          <w:rFonts w:cs="Arial"/>
          <w:sz w:val="20"/>
        </w:rPr>
        <w:tab/>
      </w:r>
      <w:r w:rsidR="002375FF">
        <w:rPr>
          <w:rFonts w:cs="Arial"/>
          <w:sz w:val="20"/>
        </w:rPr>
        <w:tab/>
      </w:r>
      <w:r w:rsidR="002375FF">
        <w:rPr>
          <w:rFonts w:cs="Arial"/>
          <w:sz w:val="20"/>
        </w:rPr>
        <w:tab/>
      </w:r>
      <w:r w:rsidR="00075C29" w:rsidRPr="0077166B">
        <w:rPr>
          <w:rFonts w:cs="Arial"/>
          <w:sz w:val="20"/>
        </w:rPr>
        <w:t>12</w:t>
      </w:r>
      <w:r w:rsidR="0042450E" w:rsidRPr="0077166B">
        <w:rPr>
          <w:rFonts w:cs="Arial"/>
          <w:sz w:val="20"/>
        </w:rPr>
        <w:t>4</w:t>
      </w:r>
      <w:r w:rsidR="00075C29" w:rsidRPr="0077166B">
        <w:rPr>
          <w:rFonts w:cs="Arial"/>
          <w:sz w:val="20"/>
        </w:rPr>
        <w:t xml:space="preserve">%            </w:t>
      </w:r>
      <w:r w:rsidR="008C094C" w:rsidRPr="0077166B">
        <w:rPr>
          <w:rFonts w:cs="Arial"/>
          <w:sz w:val="20"/>
        </w:rPr>
        <w:t>12</w:t>
      </w:r>
      <w:r w:rsidR="002375FF">
        <w:rPr>
          <w:rFonts w:cs="Arial"/>
          <w:sz w:val="20"/>
        </w:rPr>
        <w:t>7</w:t>
      </w:r>
      <w:r w:rsidR="008C094C" w:rsidRPr="0077166B">
        <w:rPr>
          <w:rFonts w:cs="Arial"/>
          <w:sz w:val="20"/>
        </w:rPr>
        <w:t>%</w:t>
      </w:r>
    </w:p>
    <w:p w:rsidR="008C094C" w:rsidRDefault="008C094C" w:rsidP="008C094C">
      <w:pPr>
        <w:spacing w:after="120"/>
        <w:rPr>
          <w:rFonts w:cs="Arial"/>
          <w:b/>
          <w:sz w:val="20"/>
          <w:u w:val="single"/>
        </w:rPr>
      </w:pPr>
    </w:p>
    <w:p w:rsidR="00BC03DE" w:rsidRPr="00135B00" w:rsidRDefault="00BC03DE" w:rsidP="00BC03DE">
      <w:pPr>
        <w:autoSpaceDE w:val="0"/>
        <w:autoSpaceDN w:val="0"/>
        <w:adjustRightInd w:val="0"/>
        <w:rPr>
          <w:rFonts w:cs="Arial"/>
          <w:sz w:val="20"/>
        </w:rPr>
      </w:pPr>
      <w:r w:rsidRPr="00135B00">
        <w:rPr>
          <w:rFonts w:cs="Arial"/>
          <w:b/>
          <w:sz w:val="20"/>
        </w:rPr>
        <w:t>*</w:t>
      </w:r>
      <w:r w:rsidRPr="00135B00">
        <w:rPr>
          <w:rFonts w:cs="Arial"/>
          <w:sz w:val="20"/>
        </w:rPr>
        <w:t>Gross borrowing appears higher than the capital financing requirement because the</w:t>
      </w:r>
      <w:r w:rsidR="00033608">
        <w:rPr>
          <w:rFonts w:cs="Arial"/>
          <w:sz w:val="20"/>
        </w:rPr>
        <w:t xml:space="preserve"> </w:t>
      </w:r>
      <w:r w:rsidRPr="00135B00">
        <w:rPr>
          <w:rFonts w:cs="Arial"/>
          <w:sz w:val="20"/>
        </w:rPr>
        <w:t>shared</w:t>
      </w:r>
      <w:r w:rsidR="00033608">
        <w:rPr>
          <w:rFonts w:cs="Arial"/>
          <w:sz w:val="20"/>
        </w:rPr>
        <w:t xml:space="preserve"> </w:t>
      </w:r>
      <w:r w:rsidRPr="00135B00">
        <w:rPr>
          <w:rFonts w:cs="Arial"/>
          <w:sz w:val="20"/>
        </w:rPr>
        <w:t>investment scheme is accounted for as borrowing, but it does not form part of</w:t>
      </w:r>
      <w:r w:rsidR="00033608">
        <w:rPr>
          <w:rFonts w:cs="Arial"/>
          <w:sz w:val="20"/>
        </w:rPr>
        <w:t xml:space="preserve"> </w:t>
      </w:r>
      <w:r w:rsidRPr="00135B00">
        <w:rPr>
          <w:rFonts w:cs="Arial"/>
          <w:sz w:val="20"/>
        </w:rPr>
        <w:t>the capital financing requirement calculation.</w:t>
      </w:r>
    </w:p>
    <w:p w:rsidR="00BC03DE" w:rsidRPr="0077166B" w:rsidRDefault="00BC03DE" w:rsidP="008C094C">
      <w:pPr>
        <w:spacing w:after="120"/>
        <w:rPr>
          <w:rFonts w:cs="Arial"/>
          <w:b/>
          <w:sz w:val="20"/>
          <w:u w:val="single"/>
        </w:rPr>
      </w:pPr>
    </w:p>
    <w:p w:rsidR="008C094C" w:rsidRPr="0077166B" w:rsidRDefault="008C094C" w:rsidP="008C094C">
      <w:pPr>
        <w:pStyle w:val="ListParagraph"/>
        <w:numPr>
          <w:ilvl w:val="0"/>
          <w:numId w:val="21"/>
        </w:numPr>
        <w:spacing w:after="120"/>
        <w:rPr>
          <w:rFonts w:cs="Arial"/>
          <w:b/>
          <w:sz w:val="20"/>
          <w:u w:val="single"/>
        </w:rPr>
      </w:pPr>
      <w:r w:rsidRPr="0077166B">
        <w:rPr>
          <w:b/>
          <w:sz w:val="20"/>
        </w:rPr>
        <w:t>Council Tax indicators</w:t>
      </w:r>
      <w:r w:rsidRPr="0077166B">
        <w:rPr>
          <w:b/>
          <w:sz w:val="20"/>
        </w:rPr>
        <w:tab/>
      </w:r>
      <w:r w:rsidRPr="0077166B">
        <w:rPr>
          <w:b/>
          <w:sz w:val="20"/>
        </w:rPr>
        <w:tab/>
      </w:r>
      <w:r w:rsidRPr="0077166B">
        <w:rPr>
          <w:b/>
          <w:sz w:val="20"/>
        </w:rPr>
        <w:tab/>
      </w:r>
      <w:r w:rsidRPr="0077166B">
        <w:rPr>
          <w:b/>
          <w:sz w:val="20"/>
        </w:rPr>
        <w:tab/>
      </w:r>
      <w:r w:rsidRPr="0077166B">
        <w:rPr>
          <w:b/>
          <w:sz w:val="20"/>
        </w:rPr>
        <w:tab/>
      </w:r>
      <w:r w:rsidRPr="0077166B">
        <w:rPr>
          <w:b/>
          <w:sz w:val="20"/>
        </w:rPr>
        <w:tab/>
      </w:r>
      <w:r w:rsidRPr="0077166B">
        <w:rPr>
          <w:b/>
          <w:sz w:val="20"/>
        </w:rPr>
        <w:tab/>
      </w:r>
    </w:p>
    <w:p w:rsidR="005B5F7A" w:rsidRPr="0077166B" w:rsidRDefault="005B5F7A" w:rsidP="005B5F7A">
      <w:pPr>
        <w:ind w:left="786"/>
        <w:rPr>
          <w:rFonts w:cs="Arial"/>
          <w:sz w:val="20"/>
        </w:rPr>
      </w:pPr>
    </w:p>
    <w:p w:rsidR="00C126D4" w:rsidRPr="0077166B" w:rsidRDefault="00075C29" w:rsidP="008C094C">
      <w:pPr>
        <w:ind w:left="644"/>
        <w:rPr>
          <w:rFonts w:cs="Arial"/>
          <w:sz w:val="20"/>
        </w:rPr>
      </w:pPr>
      <w:r w:rsidRPr="0077166B">
        <w:rPr>
          <w:rFonts w:cs="Arial"/>
          <w:sz w:val="20"/>
        </w:rPr>
        <w:t xml:space="preserve"> </w:t>
      </w:r>
      <w:r w:rsidR="004067DE" w:rsidRPr="0077166B">
        <w:rPr>
          <w:rFonts w:cs="Arial"/>
          <w:sz w:val="20"/>
        </w:rPr>
        <w:t xml:space="preserve"> </w:t>
      </w:r>
      <w:r w:rsidR="00437DCF" w:rsidRPr="0077166B">
        <w:rPr>
          <w:rFonts w:cs="Arial"/>
          <w:sz w:val="20"/>
        </w:rPr>
        <w:t xml:space="preserve"> </w:t>
      </w:r>
      <w:r w:rsidR="008C094C" w:rsidRPr="0077166B">
        <w:rPr>
          <w:rFonts w:cs="Arial"/>
          <w:sz w:val="20"/>
        </w:rPr>
        <w:t>Ratio of financing costs to the net revenue stream</w:t>
      </w:r>
      <w:r w:rsidR="008C094C" w:rsidRPr="0077166B">
        <w:rPr>
          <w:rFonts w:cs="Arial"/>
          <w:sz w:val="20"/>
        </w:rPr>
        <w:tab/>
      </w:r>
      <w:r w:rsidR="008C094C" w:rsidRPr="0077166B">
        <w:rPr>
          <w:rFonts w:cs="Arial"/>
          <w:sz w:val="20"/>
        </w:rPr>
        <w:tab/>
      </w:r>
      <w:r w:rsidR="008C094C" w:rsidRPr="0077166B">
        <w:rPr>
          <w:rFonts w:cs="Arial"/>
          <w:sz w:val="20"/>
        </w:rPr>
        <w:tab/>
      </w:r>
      <w:r w:rsidRPr="0077166B">
        <w:rPr>
          <w:rFonts w:cs="Arial"/>
          <w:sz w:val="20"/>
        </w:rPr>
        <w:t xml:space="preserve"> </w:t>
      </w:r>
      <w:r w:rsidR="005B1A0C" w:rsidRPr="0077166B">
        <w:rPr>
          <w:rFonts w:cs="Arial"/>
          <w:sz w:val="20"/>
        </w:rPr>
        <w:t>6.59</w:t>
      </w:r>
      <w:r w:rsidR="008C094C" w:rsidRPr="0077166B">
        <w:rPr>
          <w:rFonts w:cs="Arial"/>
          <w:sz w:val="20"/>
        </w:rPr>
        <w:t>%</w:t>
      </w:r>
      <w:r w:rsidRPr="0077166B">
        <w:rPr>
          <w:rFonts w:cs="Arial"/>
          <w:sz w:val="20"/>
        </w:rPr>
        <w:t xml:space="preserve">          </w:t>
      </w:r>
      <w:r w:rsidR="005B1A0C" w:rsidRPr="0077166B">
        <w:rPr>
          <w:rFonts w:cs="Arial"/>
          <w:sz w:val="20"/>
        </w:rPr>
        <w:t>3.97</w:t>
      </w:r>
      <w:r w:rsidR="006F7732" w:rsidRPr="0077166B">
        <w:rPr>
          <w:rFonts w:cs="Arial"/>
          <w:sz w:val="20"/>
        </w:rPr>
        <w:t>%</w:t>
      </w:r>
      <w:r w:rsidR="008C094C" w:rsidRPr="0077166B">
        <w:rPr>
          <w:rFonts w:cs="Arial"/>
          <w:sz w:val="20"/>
        </w:rPr>
        <w:t xml:space="preserve">             </w:t>
      </w:r>
    </w:p>
    <w:p w:rsidR="005B5F7A" w:rsidRPr="0077166B" w:rsidRDefault="005B5F7A" w:rsidP="008C094C">
      <w:pPr>
        <w:ind w:left="644"/>
        <w:rPr>
          <w:rFonts w:cs="Arial"/>
          <w:sz w:val="20"/>
        </w:rPr>
      </w:pPr>
      <w:r w:rsidRPr="0077166B">
        <w:rPr>
          <w:rFonts w:cs="Arial"/>
          <w:sz w:val="20"/>
        </w:rPr>
        <w:t xml:space="preserve">  </w:t>
      </w:r>
    </w:p>
    <w:p w:rsidR="008C094C" w:rsidRPr="0077166B" w:rsidRDefault="004067DE" w:rsidP="008C094C">
      <w:pPr>
        <w:ind w:left="644"/>
        <w:rPr>
          <w:b/>
          <w:szCs w:val="24"/>
        </w:rPr>
      </w:pPr>
      <w:r w:rsidRPr="0077166B">
        <w:rPr>
          <w:rFonts w:cs="Arial"/>
          <w:sz w:val="20"/>
        </w:rPr>
        <w:t xml:space="preserve"> </w:t>
      </w:r>
      <w:r w:rsidR="00437DCF" w:rsidRPr="0077166B">
        <w:rPr>
          <w:rFonts w:cs="Arial"/>
          <w:sz w:val="20"/>
        </w:rPr>
        <w:t xml:space="preserve"> </w:t>
      </w:r>
      <w:r w:rsidRPr="0077166B">
        <w:rPr>
          <w:rFonts w:cs="Arial"/>
          <w:sz w:val="20"/>
        </w:rPr>
        <w:t xml:space="preserve"> </w:t>
      </w:r>
      <w:r w:rsidR="008C094C" w:rsidRPr="0077166B">
        <w:rPr>
          <w:rFonts w:cs="Arial"/>
          <w:sz w:val="20"/>
        </w:rPr>
        <w:t xml:space="preserve">Estimated revenue impact of capital investment on Band D </w:t>
      </w:r>
      <w:r w:rsidR="008C094C" w:rsidRPr="0077166B">
        <w:rPr>
          <w:rFonts w:cs="Arial"/>
          <w:sz w:val="20"/>
        </w:rPr>
        <w:tab/>
      </w:r>
      <w:r w:rsidR="008C094C" w:rsidRPr="0077166B">
        <w:rPr>
          <w:rFonts w:cs="Arial"/>
          <w:sz w:val="20"/>
        </w:rPr>
        <w:tab/>
      </w:r>
      <w:r w:rsidR="006F7732" w:rsidRPr="0077166B">
        <w:rPr>
          <w:rFonts w:cs="Arial"/>
          <w:sz w:val="20"/>
        </w:rPr>
        <w:t xml:space="preserve"> </w:t>
      </w:r>
      <w:r w:rsidR="005B1A0C" w:rsidRPr="0077166B">
        <w:rPr>
          <w:rFonts w:cs="Arial"/>
          <w:sz w:val="20"/>
        </w:rPr>
        <w:t xml:space="preserve">89.01 </w:t>
      </w:r>
      <w:r w:rsidR="006F7732" w:rsidRPr="0077166B">
        <w:rPr>
          <w:rFonts w:cs="Arial"/>
          <w:sz w:val="20"/>
        </w:rPr>
        <w:tab/>
        <w:t xml:space="preserve">         </w:t>
      </w:r>
      <w:r w:rsidR="005B1A0C" w:rsidRPr="0077166B">
        <w:rPr>
          <w:rFonts w:cs="Arial"/>
          <w:sz w:val="20"/>
        </w:rPr>
        <w:t>49.42</w:t>
      </w:r>
    </w:p>
    <w:p w:rsidR="00C126D4" w:rsidRPr="0077166B" w:rsidRDefault="006F7732" w:rsidP="00C126D4">
      <w:pPr>
        <w:rPr>
          <w:b/>
          <w:szCs w:val="24"/>
        </w:rPr>
      </w:pPr>
      <w:r w:rsidRPr="0077166B">
        <w:rPr>
          <w:b/>
          <w:szCs w:val="24"/>
        </w:rPr>
        <w:t xml:space="preserve">          </w:t>
      </w:r>
      <w:r w:rsidR="004067DE" w:rsidRPr="0077166B">
        <w:rPr>
          <w:b/>
          <w:szCs w:val="24"/>
        </w:rPr>
        <w:t xml:space="preserve"> </w:t>
      </w:r>
      <w:r w:rsidR="00437DCF" w:rsidRPr="0077166B">
        <w:rPr>
          <w:b/>
          <w:szCs w:val="24"/>
        </w:rPr>
        <w:t xml:space="preserve"> </w:t>
      </w:r>
      <w:r w:rsidRPr="0077166B">
        <w:rPr>
          <w:rFonts w:cs="Arial"/>
          <w:sz w:val="20"/>
        </w:rPr>
        <w:t>Council Tax</w:t>
      </w:r>
    </w:p>
    <w:p w:rsidR="00F651A4" w:rsidRPr="0077166B" w:rsidRDefault="00F651A4" w:rsidP="00C126D4">
      <w:pPr>
        <w:rPr>
          <w:b/>
          <w:szCs w:val="24"/>
        </w:rPr>
      </w:pPr>
    </w:p>
    <w:p w:rsidR="008B6CAA" w:rsidRPr="0077166B" w:rsidRDefault="00075C29" w:rsidP="004067DE">
      <w:pPr>
        <w:spacing w:after="120"/>
        <w:ind w:firstLine="644"/>
        <w:rPr>
          <w:b/>
          <w:szCs w:val="24"/>
          <w:u w:val="single"/>
        </w:rPr>
      </w:pPr>
      <w:r w:rsidRPr="0077166B">
        <w:rPr>
          <w:b/>
          <w:szCs w:val="24"/>
        </w:rPr>
        <w:t xml:space="preserve">  </w:t>
      </w:r>
      <w:r w:rsidR="008C094C" w:rsidRPr="0077166B">
        <w:rPr>
          <w:b/>
          <w:szCs w:val="24"/>
          <w:u w:val="single"/>
        </w:rPr>
        <w:t>Treasury Management Indicators</w:t>
      </w:r>
    </w:p>
    <w:p w:rsidR="004067DE" w:rsidRPr="0077166B" w:rsidRDefault="004067DE" w:rsidP="004067DE">
      <w:pPr>
        <w:spacing w:after="120"/>
        <w:ind w:firstLine="644"/>
        <w:rPr>
          <w:b/>
          <w:szCs w:val="24"/>
          <w:u w:val="single"/>
        </w:rPr>
      </w:pPr>
    </w:p>
    <w:p w:rsidR="00C126D4" w:rsidRPr="0077166B" w:rsidRDefault="00FD32F6" w:rsidP="00C126D4">
      <w:pPr>
        <w:pStyle w:val="ListParagraph"/>
        <w:numPr>
          <w:ilvl w:val="0"/>
          <w:numId w:val="21"/>
        </w:numPr>
        <w:rPr>
          <w:sz w:val="20"/>
        </w:rPr>
      </w:pPr>
      <w:r w:rsidRPr="0077166B">
        <w:rPr>
          <w:b/>
          <w:sz w:val="20"/>
        </w:rPr>
        <w:t>Upper limit for fixed rate debt</w:t>
      </w:r>
      <w:r w:rsidRPr="0077166B">
        <w:rPr>
          <w:b/>
          <w:sz w:val="20"/>
        </w:rPr>
        <w:tab/>
      </w:r>
      <w:r w:rsidRPr="0077166B">
        <w:rPr>
          <w:sz w:val="20"/>
        </w:rPr>
        <w:tab/>
      </w:r>
      <w:r w:rsidRPr="0077166B">
        <w:rPr>
          <w:sz w:val="20"/>
        </w:rPr>
        <w:tab/>
      </w:r>
      <w:r w:rsidRPr="0077166B">
        <w:rPr>
          <w:sz w:val="20"/>
        </w:rPr>
        <w:tab/>
      </w:r>
      <w:r w:rsidRPr="0077166B">
        <w:rPr>
          <w:sz w:val="20"/>
        </w:rPr>
        <w:tab/>
      </w:r>
      <w:r w:rsidRPr="0077166B">
        <w:rPr>
          <w:sz w:val="20"/>
        </w:rPr>
        <w:tab/>
        <w:t xml:space="preserve">  37.6</w:t>
      </w:r>
      <w:r w:rsidRPr="0077166B">
        <w:rPr>
          <w:sz w:val="20"/>
        </w:rPr>
        <w:tab/>
        <w:t xml:space="preserve">        - 0.3</w:t>
      </w:r>
    </w:p>
    <w:p w:rsidR="00963BC5" w:rsidRPr="0077166B" w:rsidRDefault="00963BC5" w:rsidP="00980663">
      <w:pPr>
        <w:rPr>
          <w:b/>
          <w:sz w:val="20"/>
        </w:rPr>
      </w:pPr>
    </w:p>
    <w:p w:rsidR="00FD32F6" w:rsidRPr="0077166B" w:rsidRDefault="00FD32F6" w:rsidP="00FD32F6">
      <w:pPr>
        <w:pStyle w:val="ListParagraph"/>
        <w:numPr>
          <w:ilvl w:val="0"/>
          <w:numId w:val="21"/>
        </w:numPr>
        <w:rPr>
          <w:szCs w:val="24"/>
        </w:rPr>
      </w:pPr>
      <w:r w:rsidRPr="0077166B">
        <w:rPr>
          <w:b/>
          <w:sz w:val="20"/>
        </w:rPr>
        <w:lastRenderedPageBreak/>
        <w:t>Upper limit for variable rate debt</w:t>
      </w:r>
      <w:r w:rsidRPr="0077166B">
        <w:rPr>
          <w:b/>
          <w:sz w:val="20"/>
        </w:rPr>
        <w:tab/>
      </w:r>
      <w:r w:rsidRPr="0077166B">
        <w:rPr>
          <w:b/>
          <w:sz w:val="20"/>
        </w:rPr>
        <w:tab/>
      </w:r>
      <w:r w:rsidRPr="0077166B">
        <w:rPr>
          <w:b/>
          <w:sz w:val="20"/>
        </w:rPr>
        <w:tab/>
      </w:r>
      <w:r w:rsidRPr="0077166B">
        <w:rPr>
          <w:b/>
          <w:sz w:val="20"/>
        </w:rPr>
        <w:tab/>
      </w:r>
      <w:r w:rsidRPr="0077166B">
        <w:rPr>
          <w:b/>
          <w:sz w:val="20"/>
        </w:rPr>
        <w:tab/>
        <w:t xml:space="preserve">    </w:t>
      </w:r>
      <w:r w:rsidRPr="0077166B">
        <w:rPr>
          <w:sz w:val="20"/>
        </w:rPr>
        <w:t xml:space="preserve">5.0 </w:t>
      </w:r>
      <w:r w:rsidRPr="0077166B">
        <w:rPr>
          <w:sz w:val="20"/>
        </w:rPr>
        <w:tab/>
        <w:t xml:space="preserve">          0.1</w:t>
      </w:r>
    </w:p>
    <w:p w:rsidR="005B5F7A" w:rsidRPr="0077166B" w:rsidRDefault="005B5F7A" w:rsidP="004067DE">
      <w:pPr>
        <w:rPr>
          <w:szCs w:val="24"/>
        </w:rPr>
      </w:pPr>
    </w:p>
    <w:p w:rsidR="00FD32F6" w:rsidRPr="0077166B" w:rsidRDefault="00FD32F6" w:rsidP="00FD32F6">
      <w:pPr>
        <w:pStyle w:val="ListParagraph"/>
        <w:numPr>
          <w:ilvl w:val="0"/>
          <w:numId w:val="21"/>
        </w:numPr>
        <w:rPr>
          <w:szCs w:val="24"/>
        </w:rPr>
      </w:pPr>
      <w:r w:rsidRPr="0077166B">
        <w:rPr>
          <w:b/>
          <w:sz w:val="20"/>
        </w:rPr>
        <w:t>Upper limit for Bank Deposits over 364 days</w:t>
      </w:r>
      <w:r w:rsidRPr="0077166B">
        <w:rPr>
          <w:b/>
          <w:sz w:val="20"/>
        </w:rPr>
        <w:tab/>
      </w:r>
      <w:r w:rsidRPr="0077166B">
        <w:rPr>
          <w:b/>
          <w:sz w:val="20"/>
        </w:rPr>
        <w:tab/>
      </w:r>
    </w:p>
    <w:p w:rsidR="00FD32F6" w:rsidRPr="0077166B" w:rsidRDefault="00FD32F6" w:rsidP="00FD32F6">
      <w:pPr>
        <w:pStyle w:val="ListParagraph"/>
        <w:rPr>
          <w:b/>
          <w:sz w:val="20"/>
        </w:rPr>
      </w:pPr>
    </w:p>
    <w:p w:rsidR="00F651A4" w:rsidRPr="0077166B" w:rsidRDefault="00F651A4" w:rsidP="00F651A4">
      <w:pPr>
        <w:spacing w:after="120"/>
        <w:ind w:left="342"/>
        <w:rPr>
          <w:sz w:val="20"/>
        </w:rPr>
      </w:pPr>
      <w:r w:rsidRPr="0077166B">
        <w:rPr>
          <w:b/>
          <w:sz w:val="20"/>
        </w:rPr>
        <w:t xml:space="preserve">     </w:t>
      </w:r>
      <w:r w:rsidR="00075C29" w:rsidRPr="0077166B">
        <w:rPr>
          <w:b/>
          <w:sz w:val="20"/>
        </w:rPr>
        <w:t xml:space="preserve">   </w:t>
      </w:r>
      <w:r w:rsidRPr="0077166B">
        <w:rPr>
          <w:sz w:val="20"/>
        </w:rPr>
        <w:t>This limit does not apply to UK or</w:t>
      </w:r>
      <w:r w:rsidR="00075C29" w:rsidRPr="0077166B">
        <w:rPr>
          <w:sz w:val="20"/>
        </w:rPr>
        <w:t xml:space="preserve"> AAA rated foreign Government </w:t>
      </w:r>
      <w:r w:rsidRPr="0077166B">
        <w:rPr>
          <w:sz w:val="20"/>
        </w:rPr>
        <w:t xml:space="preserve"> </w:t>
      </w:r>
      <w:r w:rsidR="006F7732" w:rsidRPr="0077166B">
        <w:rPr>
          <w:sz w:val="20"/>
        </w:rPr>
        <w:tab/>
        <w:t xml:space="preserve">  75%</w:t>
      </w:r>
      <w:r w:rsidR="006F7732" w:rsidRPr="0077166B">
        <w:rPr>
          <w:sz w:val="20"/>
        </w:rPr>
        <w:tab/>
        <w:t xml:space="preserve">         13</w:t>
      </w:r>
      <w:r w:rsidRPr="0077166B">
        <w:rPr>
          <w:sz w:val="20"/>
        </w:rPr>
        <w:t>%</w:t>
      </w:r>
    </w:p>
    <w:p w:rsidR="009E7AAE" w:rsidRPr="0077166B" w:rsidRDefault="00F651A4" w:rsidP="00491B24">
      <w:pPr>
        <w:spacing w:after="120"/>
        <w:ind w:left="342"/>
        <w:rPr>
          <w:sz w:val="20"/>
        </w:rPr>
      </w:pPr>
      <w:r w:rsidRPr="0077166B">
        <w:rPr>
          <w:sz w:val="20"/>
        </w:rPr>
        <w:t xml:space="preserve">     </w:t>
      </w:r>
      <w:r w:rsidR="00075C29" w:rsidRPr="0077166B">
        <w:rPr>
          <w:sz w:val="20"/>
        </w:rPr>
        <w:t xml:space="preserve">   or </w:t>
      </w:r>
      <w:r w:rsidRPr="0077166B">
        <w:rPr>
          <w:sz w:val="20"/>
        </w:rPr>
        <w:t>Supra National Bank securities.</w:t>
      </w:r>
    </w:p>
    <w:p w:rsidR="009E7AAE" w:rsidRPr="0077166B" w:rsidRDefault="009E7AAE" w:rsidP="00124AD6">
      <w:pPr>
        <w:pStyle w:val="ListParagraph"/>
        <w:spacing w:after="120"/>
        <w:ind w:left="786"/>
        <w:rPr>
          <w:sz w:val="20"/>
        </w:rPr>
      </w:pPr>
    </w:p>
    <w:p w:rsidR="00F651A4" w:rsidRPr="0077166B" w:rsidRDefault="00F651A4" w:rsidP="00F651A4">
      <w:pPr>
        <w:pStyle w:val="ListParagraph"/>
        <w:numPr>
          <w:ilvl w:val="0"/>
          <w:numId w:val="21"/>
        </w:numPr>
        <w:spacing w:after="120"/>
        <w:rPr>
          <w:sz w:val="20"/>
        </w:rPr>
      </w:pPr>
      <w:r w:rsidRPr="0077166B">
        <w:rPr>
          <w:b/>
          <w:sz w:val="20"/>
        </w:rPr>
        <w:t>Maturity structure of debt</w:t>
      </w:r>
    </w:p>
    <w:p w:rsidR="00075C29" w:rsidRPr="0077166B" w:rsidRDefault="00075C29" w:rsidP="00075C29">
      <w:pPr>
        <w:pStyle w:val="ListParagraph"/>
        <w:spacing w:after="120"/>
        <w:ind w:left="786"/>
        <w:rPr>
          <w:sz w:val="20"/>
        </w:rPr>
      </w:pPr>
    </w:p>
    <w:tbl>
      <w:tblPr>
        <w:tblW w:w="11970" w:type="dxa"/>
        <w:tblInd w:w="360" w:type="dxa"/>
        <w:tblLayout w:type="fixed"/>
        <w:tblLook w:val="0000" w:firstRow="0" w:lastRow="0" w:firstColumn="0" w:lastColumn="0" w:noHBand="0" w:noVBand="0"/>
      </w:tblPr>
      <w:tblGrid>
        <w:gridCol w:w="8962"/>
        <w:gridCol w:w="1764"/>
        <w:gridCol w:w="1244"/>
      </w:tblGrid>
      <w:tr w:rsidR="00EB52C0" w:rsidRPr="00382002" w:rsidTr="008B6CAA">
        <w:trPr>
          <w:trHeight w:val="80"/>
        </w:trPr>
        <w:tc>
          <w:tcPr>
            <w:tcW w:w="8962" w:type="dxa"/>
          </w:tcPr>
          <w:tbl>
            <w:tblPr>
              <w:tblStyle w:val="TableGrid"/>
              <w:tblpPr w:leftFromText="180" w:rightFromText="180" w:vertAnchor="page" w:horzAnchor="margin"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42"/>
              <w:gridCol w:w="1276"/>
              <w:gridCol w:w="1276"/>
              <w:gridCol w:w="992"/>
            </w:tblGrid>
            <w:tr w:rsidR="00075C29" w:rsidRPr="0077166B" w:rsidTr="00BC03DE">
              <w:trPr>
                <w:trHeight w:val="340"/>
              </w:trPr>
              <w:tc>
                <w:tcPr>
                  <w:tcW w:w="4678" w:type="dxa"/>
                  <w:gridSpan w:val="2"/>
                </w:tcPr>
                <w:p w:rsidR="00075C29" w:rsidRPr="0077166B" w:rsidRDefault="00075C29" w:rsidP="00075C29">
                  <w:pPr>
                    <w:tabs>
                      <w:tab w:val="left" w:pos="342"/>
                    </w:tabs>
                    <w:spacing w:after="120"/>
                    <w:rPr>
                      <w:sz w:val="20"/>
                    </w:rPr>
                  </w:pPr>
                </w:p>
              </w:tc>
              <w:tc>
                <w:tcPr>
                  <w:tcW w:w="1276" w:type="dxa"/>
                </w:tcPr>
                <w:p w:rsidR="00075C29" w:rsidRPr="0077166B" w:rsidRDefault="00075C29" w:rsidP="00BC03DE">
                  <w:pPr>
                    <w:tabs>
                      <w:tab w:val="left" w:pos="342"/>
                    </w:tabs>
                    <w:spacing w:after="120"/>
                    <w:jc w:val="right"/>
                    <w:rPr>
                      <w:sz w:val="20"/>
                    </w:rPr>
                  </w:pPr>
                  <w:r w:rsidRPr="0077166B">
                    <w:rPr>
                      <w:sz w:val="20"/>
                    </w:rPr>
                    <w:t>Lower Limit %</w:t>
                  </w:r>
                </w:p>
              </w:tc>
              <w:tc>
                <w:tcPr>
                  <w:tcW w:w="1276" w:type="dxa"/>
                </w:tcPr>
                <w:p w:rsidR="00075C29" w:rsidRPr="0077166B" w:rsidRDefault="00075C29" w:rsidP="00BC03DE">
                  <w:pPr>
                    <w:tabs>
                      <w:tab w:val="left" w:pos="342"/>
                    </w:tabs>
                    <w:spacing w:after="120"/>
                    <w:jc w:val="right"/>
                    <w:rPr>
                      <w:sz w:val="20"/>
                    </w:rPr>
                  </w:pPr>
                  <w:r w:rsidRPr="0077166B">
                    <w:rPr>
                      <w:sz w:val="20"/>
                    </w:rPr>
                    <w:t>Upper Limit %</w:t>
                  </w:r>
                </w:p>
              </w:tc>
              <w:tc>
                <w:tcPr>
                  <w:tcW w:w="992" w:type="dxa"/>
                </w:tcPr>
                <w:p w:rsidR="00075C29" w:rsidRPr="0077166B" w:rsidRDefault="00075C29" w:rsidP="00BC03DE">
                  <w:pPr>
                    <w:tabs>
                      <w:tab w:val="left" w:pos="342"/>
                    </w:tabs>
                    <w:spacing w:after="120"/>
                    <w:jc w:val="right"/>
                    <w:rPr>
                      <w:sz w:val="20"/>
                    </w:rPr>
                  </w:pPr>
                  <w:r w:rsidRPr="0077166B">
                    <w:rPr>
                      <w:sz w:val="20"/>
                    </w:rPr>
                    <w:t>Actual %</w:t>
                  </w:r>
                </w:p>
              </w:tc>
            </w:tr>
            <w:tr w:rsidR="00075C29" w:rsidRPr="0077166B" w:rsidTr="00BC03DE">
              <w:trPr>
                <w:trHeight w:val="340"/>
              </w:trPr>
              <w:tc>
                <w:tcPr>
                  <w:tcW w:w="4536" w:type="dxa"/>
                </w:tcPr>
                <w:p w:rsidR="00075C29" w:rsidRPr="0077166B" w:rsidRDefault="00075C29" w:rsidP="00075C29">
                  <w:pPr>
                    <w:tabs>
                      <w:tab w:val="left" w:pos="342"/>
                    </w:tabs>
                    <w:spacing w:after="120"/>
                    <w:rPr>
                      <w:sz w:val="20"/>
                    </w:rPr>
                  </w:pPr>
                  <w:r w:rsidRPr="0077166B">
                    <w:rPr>
                      <w:sz w:val="20"/>
                    </w:rPr>
                    <w:t>Under 12 months</w:t>
                  </w:r>
                </w:p>
              </w:tc>
              <w:tc>
                <w:tcPr>
                  <w:tcW w:w="1418" w:type="dxa"/>
                  <w:gridSpan w:val="2"/>
                </w:tcPr>
                <w:p w:rsidR="00075C29" w:rsidRPr="0077166B" w:rsidRDefault="00E66494" w:rsidP="00BC03DE">
                  <w:pPr>
                    <w:tabs>
                      <w:tab w:val="left" w:pos="342"/>
                    </w:tabs>
                    <w:spacing w:after="120"/>
                    <w:jc w:val="right"/>
                    <w:rPr>
                      <w:sz w:val="20"/>
                    </w:rPr>
                  </w:pPr>
                  <w:r w:rsidRPr="0077166B">
                    <w:rPr>
                      <w:sz w:val="20"/>
                    </w:rPr>
                    <w:t>-</w:t>
                  </w:r>
                </w:p>
              </w:tc>
              <w:tc>
                <w:tcPr>
                  <w:tcW w:w="1276" w:type="dxa"/>
                </w:tcPr>
                <w:p w:rsidR="00075C29" w:rsidRPr="0077166B" w:rsidRDefault="00075C29" w:rsidP="00BC03DE">
                  <w:pPr>
                    <w:tabs>
                      <w:tab w:val="left" w:pos="342"/>
                    </w:tabs>
                    <w:spacing w:after="120"/>
                    <w:jc w:val="right"/>
                    <w:rPr>
                      <w:sz w:val="20"/>
                    </w:rPr>
                  </w:pPr>
                  <w:r w:rsidRPr="0077166B">
                    <w:rPr>
                      <w:sz w:val="20"/>
                    </w:rPr>
                    <w:t>75</w:t>
                  </w:r>
                </w:p>
              </w:tc>
              <w:tc>
                <w:tcPr>
                  <w:tcW w:w="992" w:type="dxa"/>
                </w:tcPr>
                <w:p w:rsidR="00075C29" w:rsidRPr="0077166B" w:rsidRDefault="00075C29" w:rsidP="00BC03DE">
                  <w:pPr>
                    <w:tabs>
                      <w:tab w:val="left" w:pos="342"/>
                    </w:tabs>
                    <w:spacing w:after="120"/>
                    <w:jc w:val="right"/>
                    <w:rPr>
                      <w:sz w:val="20"/>
                    </w:rPr>
                  </w:pPr>
                  <w:r w:rsidRPr="0077166B">
                    <w:rPr>
                      <w:sz w:val="20"/>
                    </w:rPr>
                    <w:t>46.5</w:t>
                  </w:r>
                </w:p>
              </w:tc>
            </w:tr>
            <w:tr w:rsidR="00075C29" w:rsidRPr="0077166B" w:rsidTr="00BC03DE">
              <w:trPr>
                <w:trHeight w:val="340"/>
              </w:trPr>
              <w:tc>
                <w:tcPr>
                  <w:tcW w:w="4536" w:type="dxa"/>
                </w:tcPr>
                <w:p w:rsidR="00075C29" w:rsidRPr="0077166B" w:rsidRDefault="00075C29" w:rsidP="00075C29">
                  <w:pPr>
                    <w:tabs>
                      <w:tab w:val="left" w:pos="342"/>
                    </w:tabs>
                    <w:spacing w:after="120"/>
                    <w:rPr>
                      <w:sz w:val="20"/>
                    </w:rPr>
                  </w:pPr>
                  <w:r w:rsidRPr="0077166B">
                    <w:rPr>
                      <w:sz w:val="20"/>
                    </w:rPr>
                    <w:t>12 months and within 2 years</w:t>
                  </w:r>
                </w:p>
              </w:tc>
              <w:tc>
                <w:tcPr>
                  <w:tcW w:w="1418" w:type="dxa"/>
                  <w:gridSpan w:val="2"/>
                </w:tcPr>
                <w:p w:rsidR="00075C29" w:rsidRPr="0077166B" w:rsidRDefault="00E66494" w:rsidP="00BC03DE">
                  <w:pPr>
                    <w:tabs>
                      <w:tab w:val="left" w:pos="342"/>
                    </w:tabs>
                    <w:spacing w:after="120"/>
                    <w:jc w:val="right"/>
                    <w:rPr>
                      <w:sz w:val="20"/>
                    </w:rPr>
                  </w:pPr>
                  <w:r w:rsidRPr="0077166B">
                    <w:rPr>
                      <w:sz w:val="20"/>
                    </w:rPr>
                    <w:t>-</w:t>
                  </w:r>
                </w:p>
              </w:tc>
              <w:tc>
                <w:tcPr>
                  <w:tcW w:w="1276" w:type="dxa"/>
                </w:tcPr>
                <w:p w:rsidR="00075C29" w:rsidRPr="0077166B" w:rsidRDefault="00075C29" w:rsidP="00BC03DE">
                  <w:pPr>
                    <w:tabs>
                      <w:tab w:val="left" w:pos="342"/>
                    </w:tabs>
                    <w:spacing w:after="120"/>
                    <w:jc w:val="right"/>
                    <w:rPr>
                      <w:sz w:val="20"/>
                    </w:rPr>
                  </w:pPr>
                  <w:r w:rsidRPr="0077166B">
                    <w:rPr>
                      <w:sz w:val="20"/>
                    </w:rPr>
                    <w:t>75</w:t>
                  </w:r>
                </w:p>
              </w:tc>
              <w:tc>
                <w:tcPr>
                  <w:tcW w:w="992" w:type="dxa"/>
                </w:tcPr>
                <w:p w:rsidR="00075C29" w:rsidRPr="0077166B" w:rsidRDefault="00075C29" w:rsidP="00BC03DE">
                  <w:pPr>
                    <w:tabs>
                      <w:tab w:val="left" w:pos="342"/>
                    </w:tabs>
                    <w:spacing w:after="120"/>
                    <w:jc w:val="right"/>
                    <w:rPr>
                      <w:sz w:val="20"/>
                    </w:rPr>
                  </w:pPr>
                  <w:r w:rsidRPr="0077166B">
                    <w:rPr>
                      <w:sz w:val="20"/>
                    </w:rPr>
                    <w:t>1.8</w:t>
                  </w:r>
                </w:p>
              </w:tc>
            </w:tr>
            <w:tr w:rsidR="00075C29" w:rsidRPr="0077166B" w:rsidTr="00BC03DE">
              <w:trPr>
                <w:trHeight w:val="340"/>
              </w:trPr>
              <w:tc>
                <w:tcPr>
                  <w:tcW w:w="4536" w:type="dxa"/>
                </w:tcPr>
                <w:p w:rsidR="00075C29" w:rsidRPr="0077166B" w:rsidRDefault="00075C29" w:rsidP="00075C29">
                  <w:pPr>
                    <w:tabs>
                      <w:tab w:val="left" w:pos="342"/>
                    </w:tabs>
                    <w:spacing w:after="120"/>
                    <w:rPr>
                      <w:sz w:val="20"/>
                    </w:rPr>
                  </w:pPr>
                  <w:r w:rsidRPr="0077166B">
                    <w:rPr>
                      <w:sz w:val="20"/>
                    </w:rPr>
                    <w:t>2 years and within 5 years</w:t>
                  </w:r>
                </w:p>
              </w:tc>
              <w:tc>
                <w:tcPr>
                  <w:tcW w:w="1418" w:type="dxa"/>
                  <w:gridSpan w:val="2"/>
                </w:tcPr>
                <w:p w:rsidR="00075C29" w:rsidRPr="0077166B" w:rsidRDefault="00E66494" w:rsidP="00BC03DE">
                  <w:pPr>
                    <w:tabs>
                      <w:tab w:val="left" w:pos="342"/>
                    </w:tabs>
                    <w:spacing w:after="120"/>
                    <w:jc w:val="right"/>
                    <w:rPr>
                      <w:sz w:val="20"/>
                    </w:rPr>
                  </w:pPr>
                  <w:r w:rsidRPr="0077166B">
                    <w:rPr>
                      <w:sz w:val="20"/>
                    </w:rPr>
                    <w:t>-</w:t>
                  </w:r>
                </w:p>
              </w:tc>
              <w:tc>
                <w:tcPr>
                  <w:tcW w:w="1276" w:type="dxa"/>
                </w:tcPr>
                <w:p w:rsidR="00075C29" w:rsidRPr="0077166B" w:rsidRDefault="00075C29" w:rsidP="00BC03DE">
                  <w:pPr>
                    <w:tabs>
                      <w:tab w:val="left" w:pos="342"/>
                    </w:tabs>
                    <w:spacing w:after="120"/>
                    <w:jc w:val="right"/>
                    <w:rPr>
                      <w:sz w:val="20"/>
                    </w:rPr>
                  </w:pPr>
                  <w:r w:rsidRPr="0077166B">
                    <w:rPr>
                      <w:sz w:val="20"/>
                    </w:rPr>
                    <w:t>75</w:t>
                  </w:r>
                </w:p>
              </w:tc>
              <w:tc>
                <w:tcPr>
                  <w:tcW w:w="992" w:type="dxa"/>
                </w:tcPr>
                <w:p w:rsidR="00075C29" w:rsidRPr="0077166B" w:rsidRDefault="00075C29" w:rsidP="00BC03DE">
                  <w:pPr>
                    <w:tabs>
                      <w:tab w:val="left" w:pos="342"/>
                    </w:tabs>
                    <w:spacing w:after="120"/>
                    <w:jc w:val="right"/>
                    <w:rPr>
                      <w:sz w:val="20"/>
                    </w:rPr>
                  </w:pPr>
                  <w:r w:rsidRPr="0077166B">
                    <w:rPr>
                      <w:sz w:val="20"/>
                    </w:rPr>
                    <w:t>2.8</w:t>
                  </w:r>
                </w:p>
              </w:tc>
            </w:tr>
            <w:tr w:rsidR="00075C29" w:rsidRPr="0077166B" w:rsidTr="00BC03DE">
              <w:trPr>
                <w:trHeight w:val="340"/>
              </w:trPr>
              <w:tc>
                <w:tcPr>
                  <w:tcW w:w="4536" w:type="dxa"/>
                </w:tcPr>
                <w:p w:rsidR="00075C29" w:rsidRPr="0077166B" w:rsidRDefault="00075C29" w:rsidP="00075C29">
                  <w:pPr>
                    <w:tabs>
                      <w:tab w:val="left" w:pos="342"/>
                    </w:tabs>
                    <w:spacing w:after="120"/>
                    <w:rPr>
                      <w:sz w:val="20"/>
                    </w:rPr>
                  </w:pPr>
                  <w:r w:rsidRPr="0077166B">
                    <w:rPr>
                      <w:sz w:val="20"/>
                    </w:rPr>
                    <w:t>5 years and within 10 years</w:t>
                  </w:r>
                </w:p>
              </w:tc>
              <w:tc>
                <w:tcPr>
                  <w:tcW w:w="1418" w:type="dxa"/>
                  <w:gridSpan w:val="2"/>
                </w:tcPr>
                <w:p w:rsidR="00075C29" w:rsidRPr="0077166B" w:rsidRDefault="00E66494" w:rsidP="00BC03DE">
                  <w:pPr>
                    <w:tabs>
                      <w:tab w:val="left" w:pos="342"/>
                    </w:tabs>
                    <w:spacing w:after="120"/>
                    <w:jc w:val="right"/>
                    <w:rPr>
                      <w:sz w:val="20"/>
                    </w:rPr>
                  </w:pPr>
                  <w:r w:rsidRPr="0077166B">
                    <w:rPr>
                      <w:sz w:val="20"/>
                    </w:rPr>
                    <w:t>-</w:t>
                  </w:r>
                </w:p>
              </w:tc>
              <w:tc>
                <w:tcPr>
                  <w:tcW w:w="1276" w:type="dxa"/>
                </w:tcPr>
                <w:p w:rsidR="00075C29" w:rsidRPr="0077166B" w:rsidRDefault="00075C29" w:rsidP="00BC03DE">
                  <w:pPr>
                    <w:tabs>
                      <w:tab w:val="left" w:pos="342"/>
                    </w:tabs>
                    <w:spacing w:after="120"/>
                    <w:jc w:val="right"/>
                    <w:rPr>
                      <w:sz w:val="20"/>
                    </w:rPr>
                  </w:pPr>
                  <w:r w:rsidRPr="0077166B">
                    <w:rPr>
                      <w:sz w:val="20"/>
                    </w:rPr>
                    <w:t>75</w:t>
                  </w:r>
                </w:p>
              </w:tc>
              <w:tc>
                <w:tcPr>
                  <w:tcW w:w="992" w:type="dxa"/>
                </w:tcPr>
                <w:p w:rsidR="00075C29" w:rsidRPr="0077166B" w:rsidRDefault="00075C29" w:rsidP="00BC03DE">
                  <w:pPr>
                    <w:tabs>
                      <w:tab w:val="left" w:pos="342"/>
                    </w:tabs>
                    <w:spacing w:after="120"/>
                    <w:jc w:val="right"/>
                    <w:rPr>
                      <w:sz w:val="20"/>
                    </w:rPr>
                  </w:pPr>
                  <w:r w:rsidRPr="0077166B">
                    <w:rPr>
                      <w:sz w:val="20"/>
                    </w:rPr>
                    <w:t>21.1</w:t>
                  </w:r>
                </w:p>
              </w:tc>
            </w:tr>
            <w:tr w:rsidR="00075C29" w:rsidRPr="0077166B" w:rsidTr="00BC03DE">
              <w:trPr>
                <w:trHeight w:val="355"/>
              </w:trPr>
              <w:tc>
                <w:tcPr>
                  <w:tcW w:w="4536" w:type="dxa"/>
                </w:tcPr>
                <w:p w:rsidR="00075C29" w:rsidRPr="0077166B" w:rsidRDefault="00075C29" w:rsidP="00075C29">
                  <w:pPr>
                    <w:tabs>
                      <w:tab w:val="left" w:pos="342"/>
                    </w:tabs>
                    <w:spacing w:after="120"/>
                    <w:rPr>
                      <w:sz w:val="20"/>
                    </w:rPr>
                  </w:pPr>
                  <w:r w:rsidRPr="0077166B">
                    <w:rPr>
                      <w:sz w:val="20"/>
                    </w:rPr>
                    <w:t>10 years and above</w:t>
                  </w:r>
                </w:p>
              </w:tc>
              <w:tc>
                <w:tcPr>
                  <w:tcW w:w="1418" w:type="dxa"/>
                  <w:gridSpan w:val="2"/>
                </w:tcPr>
                <w:p w:rsidR="00075C29" w:rsidRPr="0077166B" w:rsidRDefault="00075C29" w:rsidP="00BC03DE">
                  <w:pPr>
                    <w:tabs>
                      <w:tab w:val="left" w:pos="342"/>
                    </w:tabs>
                    <w:spacing w:after="120"/>
                    <w:jc w:val="right"/>
                    <w:rPr>
                      <w:sz w:val="20"/>
                    </w:rPr>
                  </w:pPr>
                  <w:r w:rsidRPr="0077166B">
                    <w:rPr>
                      <w:sz w:val="20"/>
                    </w:rPr>
                    <w:t>25</w:t>
                  </w:r>
                </w:p>
              </w:tc>
              <w:tc>
                <w:tcPr>
                  <w:tcW w:w="1276" w:type="dxa"/>
                </w:tcPr>
                <w:p w:rsidR="00075C29" w:rsidRPr="0077166B" w:rsidRDefault="00075C29" w:rsidP="00BC03DE">
                  <w:pPr>
                    <w:tabs>
                      <w:tab w:val="left" w:pos="342"/>
                    </w:tabs>
                    <w:spacing w:after="120"/>
                    <w:jc w:val="right"/>
                    <w:rPr>
                      <w:sz w:val="20"/>
                    </w:rPr>
                  </w:pPr>
                  <w:r w:rsidRPr="0077166B">
                    <w:rPr>
                      <w:sz w:val="20"/>
                    </w:rPr>
                    <w:t>100</w:t>
                  </w:r>
                </w:p>
              </w:tc>
              <w:tc>
                <w:tcPr>
                  <w:tcW w:w="992" w:type="dxa"/>
                </w:tcPr>
                <w:p w:rsidR="00075C29" w:rsidRPr="0077166B" w:rsidRDefault="00075C29" w:rsidP="00BC03DE">
                  <w:pPr>
                    <w:tabs>
                      <w:tab w:val="left" w:pos="342"/>
                    </w:tabs>
                    <w:spacing w:after="120"/>
                    <w:jc w:val="right"/>
                    <w:rPr>
                      <w:sz w:val="20"/>
                    </w:rPr>
                  </w:pPr>
                  <w:r w:rsidRPr="0077166B">
                    <w:rPr>
                      <w:sz w:val="20"/>
                    </w:rPr>
                    <w:t>27.8</w:t>
                  </w:r>
                </w:p>
              </w:tc>
            </w:tr>
          </w:tbl>
          <w:p w:rsidR="00A17FF0" w:rsidRPr="0077166B" w:rsidRDefault="00FD32F6" w:rsidP="00F651A4">
            <w:r w:rsidRPr="0077166B">
              <w:rPr>
                <w:b/>
                <w:sz w:val="20"/>
              </w:rPr>
              <w:t xml:space="preserve"> </w:t>
            </w:r>
          </w:p>
        </w:tc>
        <w:tc>
          <w:tcPr>
            <w:tcW w:w="1764" w:type="dxa"/>
          </w:tcPr>
          <w:p w:rsidR="00EB52C0" w:rsidRPr="0077166B" w:rsidRDefault="00EB52C0" w:rsidP="00980663">
            <w:pPr>
              <w:tabs>
                <w:tab w:val="decimal" w:pos="882"/>
              </w:tabs>
              <w:spacing w:after="240"/>
              <w:rPr>
                <w:caps/>
                <w:sz w:val="20"/>
              </w:rPr>
            </w:pPr>
          </w:p>
        </w:tc>
        <w:tc>
          <w:tcPr>
            <w:tcW w:w="1244" w:type="dxa"/>
          </w:tcPr>
          <w:p w:rsidR="00EB52C0" w:rsidRPr="0077166B" w:rsidRDefault="00EB52C0" w:rsidP="00980663">
            <w:pPr>
              <w:tabs>
                <w:tab w:val="decimal" w:pos="882"/>
              </w:tabs>
              <w:spacing w:after="240"/>
              <w:rPr>
                <w:caps/>
                <w:sz w:val="20"/>
              </w:rPr>
            </w:pPr>
          </w:p>
        </w:tc>
      </w:tr>
      <w:tr w:rsidR="00F13ED4" w:rsidRPr="00382002" w:rsidTr="00AE7FD8">
        <w:trPr>
          <w:cantSplit/>
        </w:trPr>
        <w:tc>
          <w:tcPr>
            <w:tcW w:w="11970" w:type="dxa"/>
            <w:gridSpan w:val="3"/>
          </w:tcPr>
          <w:p w:rsidR="00F13ED4" w:rsidRPr="00382002" w:rsidRDefault="00F13ED4" w:rsidP="00980663">
            <w:pPr>
              <w:tabs>
                <w:tab w:val="left" w:pos="342"/>
              </w:tabs>
              <w:spacing w:after="120"/>
              <w:ind w:left="342"/>
              <w:rPr>
                <w:sz w:val="20"/>
                <w:highlight w:val="yellow"/>
              </w:rPr>
            </w:pPr>
          </w:p>
        </w:tc>
      </w:tr>
    </w:tbl>
    <w:p w:rsidR="00033608" w:rsidRDefault="00033608" w:rsidP="00980663">
      <w:pPr>
        <w:rPr>
          <w:rFonts w:cs="Arial"/>
          <w:szCs w:val="24"/>
        </w:rPr>
      </w:pPr>
    </w:p>
    <w:p w:rsidR="00C920DC" w:rsidRDefault="00C920DC" w:rsidP="00980663">
      <w:pPr>
        <w:rPr>
          <w:rFonts w:cs="Arial"/>
          <w:szCs w:val="24"/>
        </w:rPr>
      </w:pPr>
      <w:r w:rsidRPr="00C920DC">
        <w:rPr>
          <w:rFonts w:cs="Arial"/>
          <w:szCs w:val="24"/>
        </w:rPr>
        <w:t xml:space="preserve">The </w:t>
      </w:r>
      <w:r w:rsidR="00124AD6">
        <w:rPr>
          <w:rFonts w:cs="Arial"/>
          <w:szCs w:val="24"/>
        </w:rPr>
        <w:t>Council</w:t>
      </w:r>
      <w:r w:rsidRPr="00C920DC">
        <w:rPr>
          <w:rFonts w:cs="Arial"/>
          <w:szCs w:val="24"/>
        </w:rPr>
        <w:t xml:space="preserve"> confirms that it has complied with its </w:t>
      </w:r>
      <w:r w:rsidRPr="00C920DC">
        <w:rPr>
          <w:rFonts w:cs="Arial"/>
          <w:b/>
          <w:szCs w:val="24"/>
        </w:rPr>
        <w:t>Prudential Indicators</w:t>
      </w:r>
      <w:r w:rsidRPr="00C920DC">
        <w:rPr>
          <w:rFonts w:cs="Arial"/>
          <w:szCs w:val="24"/>
        </w:rPr>
        <w:t xml:space="preserve"> for 2013/14, which were approved on </w:t>
      </w:r>
      <w:r w:rsidR="006F7732" w:rsidRPr="008B6CAA">
        <w:rPr>
          <w:rFonts w:cs="Arial"/>
          <w:szCs w:val="24"/>
        </w:rPr>
        <w:t>11</w:t>
      </w:r>
      <w:r w:rsidR="008B6CAA" w:rsidRPr="008B6CAA">
        <w:rPr>
          <w:rFonts w:cs="Arial"/>
          <w:szCs w:val="24"/>
        </w:rPr>
        <w:t>th</w:t>
      </w:r>
      <w:r w:rsidR="006F7732" w:rsidRPr="008B6CAA">
        <w:rPr>
          <w:rFonts w:cs="Arial"/>
          <w:szCs w:val="24"/>
        </w:rPr>
        <w:t xml:space="preserve"> February 2013</w:t>
      </w:r>
      <w:r w:rsidRPr="00C920DC">
        <w:rPr>
          <w:rFonts w:cs="Arial"/>
          <w:szCs w:val="24"/>
        </w:rPr>
        <w:t xml:space="preserve"> as part of the </w:t>
      </w:r>
      <w:r w:rsidR="00C83B85">
        <w:rPr>
          <w:rFonts w:cs="Arial"/>
          <w:szCs w:val="24"/>
        </w:rPr>
        <w:t>Council</w:t>
      </w:r>
      <w:r w:rsidRPr="00C920DC">
        <w:rPr>
          <w:rFonts w:cs="Arial"/>
          <w:szCs w:val="24"/>
        </w:rPr>
        <w:t>’s Treasur</w:t>
      </w:r>
      <w:r w:rsidR="00BC03DE">
        <w:rPr>
          <w:rFonts w:cs="Arial"/>
          <w:szCs w:val="24"/>
        </w:rPr>
        <w:t>y Management Strategy Statement.</w:t>
      </w:r>
    </w:p>
    <w:p w:rsidR="00BC03DE" w:rsidRDefault="00BC03DE" w:rsidP="00980663">
      <w:pPr>
        <w:rPr>
          <w:rFonts w:cs="Arial"/>
          <w:szCs w:val="24"/>
        </w:rPr>
      </w:pPr>
    </w:p>
    <w:p w:rsidR="002C11CD" w:rsidRPr="00C920DC" w:rsidRDefault="002C11CD" w:rsidP="00980663">
      <w:pPr>
        <w:rPr>
          <w:rFonts w:cs="Arial"/>
          <w:szCs w:val="24"/>
        </w:rPr>
      </w:pPr>
    </w:p>
    <w:p w:rsidR="00C920DC" w:rsidRPr="00C920DC" w:rsidRDefault="00C920DC" w:rsidP="00C920DC">
      <w:pPr>
        <w:spacing w:line="276" w:lineRule="auto"/>
        <w:jc w:val="both"/>
        <w:rPr>
          <w:rFonts w:cs="Arial"/>
          <w:szCs w:val="24"/>
        </w:rPr>
      </w:pPr>
      <w:r w:rsidRPr="00C920DC">
        <w:rPr>
          <w:rFonts w:cs="Arial"/>
          <w:szCs w:val="24"/>
        </w:rPr>
        <w:t xml:space="preserve">The </w:t>
      </w:r>
      <w:r w:rsidR="00C83B85">
        <w:rPr>
          <w:rFonts w:cs="Arial"/>
          <w:szCs w:val="24"/>
        </w:rPr>
        <w:t>Council</w:t>
      </w:r>
      <w:r w:rsidRPr="00C920DC">
        <w:rPr>
          <w:rFonts w:cs="Arial"/>
          <w:szCs w:val="24"/>
        </w:rPr>
        <w:t xml:space="preserve"> also confirms that during 2013/14 it complied with its </w:t>
      </w:r>
      <w:r w:rsidRPr="00C920DC">
        <w:rPr>
          <w:rFonts w:cs="Arial"/>
          <w:b/>
          <w:szCs w:val="24"/>
        </w:rPr>
        <w:t>Treasury Management Policy Statement</w:t>
      </w:r>
      <w:r w:rsidRPr="00C920DC">
        <w:rPr>
          <w:rFonts w:cs="Arial"/>
          <w:szCs w:val="24"/>
        </w:rPr>
        <w:t xml:space="preserve"> and </w:t>
      </w:r>
      <w:r w:rsidRPr="00C920DC">
        <w:rPr>
          <w:rFonts w:cs="Arial"/>
          <w:b/>
          <w:szCs w:val="24"/>
        </w:rPr>
        <w:t>Treasury Management Practices</w:t>
      </w:r>
      <w:r w:rsidRPr="00C920DC">
        <w:rPr>
          <w:rFonts w:cs="Arial"/>
          <w:szCs w:val="24"/>
        </w:rPr>
        <w:t>.</w:t>
      </w:r>
    </w:p>
    <w:p w:rsidR="00C920DC" w:rsidRPr="00C920DC" w:rsidRDefault="00C920DC" w:rsidP="00980663">
      <w:pPr>
        <w:rPr>
          <w:rFonts w:cs="Arial"/>
          <w:b/>
          <w:szCs w:val="24"/>
          <w:highlight w:val="yellow"/>
        </w:rPr>
      </w:pPr>
    </w:p>
    <w:p w:rsidR="00F727EE" w:rsidRPr="003A645E" w:rsidRDefault="00AB33E0" w:rsidP="00F727EE">
      <w:pPr>
        <w:pStyle w:val="ListParagraph"/>
        <w:numPr>
          <w:ilvl w:val="0"/>
          <w:numId w:val="8"/>
        </w:numPr>
        <w:rPr>
          <w:b/>
        </w:rPr>
      </w:pPr>
      <w:r>
        <w:rPr>
          <w:b/>
        </w:rPr>
        <w:t>Investment in Landsbanki i</w:t>
      </w:r>
      <w:r w:rsidR="00F727EE" w:rsidRPr="003A645E">
        <w:rPr>
          <w:b/>
        </w:rPr>
        <w:t>s.</w:t>
      </w:r>
    </w:p>
    <w:p w:rsidR="00E33B5B" w:rsidRPr="00382002" w:rsidRDefault="00E33B5B" w:rsidP="00980663">
      <w:pPr>
        <w:rPr>
          <w:b/>
          <w:highlight w:val="yellow"/>
        </w:rPr>
      </w:pPr>
    </w:p>
    <w:p w:rsidR="00962ABD" w:rsidRPr="00C51779" w:rsidRDefault="00962ABD" w:rsidP="00962ABD">
      <w:pPr>
        <w:widowControl w:val="0"/>
        <w:tabs>
          <w:tab w:val="num" w:pos="0"/>
        </w:tabs>
        <w:suppressAutoHyphens/>
      </w:pPr>
      <w:r w:rsidRPr="00C51779">
        <w:rPr>
          <w:szCs w:val="22"/>
        </w:rPr>
        <w:t xml:space="preserve">Lancashire County Council had £6.4m on deposit with the Icelandic Bank Landsbanki (LBI) when it collapsed in October 2008. </w:t>
      </w:r>
      <w:r w:rsidRPr="00C51779">
        <w:t>The Winding up Board published details of LBI's financial position as at 31 December 2012; this showed that LBI's assets, including partial payments already made in respect of priority claims were greater than the sum of priority claims. It is therefore still considered likely that UK local authorities will recover 100% of their deposits, subject to potential future exchange rate fluctuations.  Approximately 53% of the total claim has now been repaid and the outstanding amount at 31 March 2014 is £3.1m.</w:t>
      </w:r>
    </w:p>
    <w:p w:rsidR="00962ABD" w:rsidRPr="00C51779" w:rsidRDefault="00962ABD" w:rsidP="00962ABD">
      <w:pPr>
        <w:widowControl w:val="0"/>
        <w:tabs>
          <w:tab w:val="num" w:pos="0"/>
        </w:tabs>
        <w:suppressAutoHyphens/>
        <w:rPr>
          <w:sz w:val="10"/>
        </w:rPr>
      </w:pPr>
    </w:p>
    <w:p w:rsidR="00962ABD" w:rsidRPr="00C51779" w:rsidRDefault="00962ABD" w:rsidP="00962ABD">
      <w:pPr>
        <w:widowControl w:val="0"/>
        <w:tabs>
          <w:tab w:val="num" w:pos="0"/>
        </w:tabs>
        <w:suppressAutoHyphens/>
      </w:pPr>
      <w:r w:rsidRPr="00C51779">
        <w:t xml:space="preserve">The exact timing and amounts of future distributions is not known at this stage. </w:t>
      </w:r>
    </w:p>
    <w:p w:rsidR="00962ABD" w:rsidRPr="00C51779" w:rsidRDefault="00962ABD" w:rsidP="00962ABD">
      <w:pPr>
        <w:widowControl w:val="0"/>
        <w:tabs>
          <w:tab w:val="num" w:pos="0"/>
        </w:tabs>
        <w:suppressAutoHyphens/>
        <w:rPr>
          <w:sz w:val="12"/>
        </w:rPr>
      </w:pPr>
    </w:p>
    <w:p w:rsidR="00962ABD" w:rsidRDefault="00962ABD" w:rsidP="00962ABD">
      <w:pPr>
        <w:widowControl w:val="0"/>
        <w:tabs>
          <w:tab w:val="num" w:pos="0"/>
        </w:tabs>
        <w:suppressAutoHyphens/>
      </w:pPr>
      <w:r w:rsidRPr="00C51779">
        <w:t>The deposit is treated as an impaired asset on the balance sheet and the carrying value is written down as distributions are received.</w:t>
      </w:r>
    </w:p>
    <w:p w:rsidR="00A177C3" w:rsidRDefault="00A177C3" w:rsidP="00DF6160"/>
    <w:p w:rsidR="00A745F4" w:rsidRDefault="00A745F4">
      <w:pPr>
        <w:rPr>
          <w:b/>
          <w:sz w:val="96"/>
          <w:szCs w:val="96"/>
          <w:u w:val="single"/>
        </w:rPr>
      </w:pPr>
    </w:p>
    <w:p w:rsidR="00A745F4" w:rsidRDefault="00A745F4">
      <w:pPr>
        <w:rPr>
          <w:b/>
          <w:sz w:val="96"/>
          <w:szCs w:val="96"/>
          <w:u w:val="single"/>
        </w:rPr>
      </w:pPr>
    </w:p>
    <w:p w:rsidR="00962ABD" w:rsidRDefault="00962ABD">
      <w:pPr>
        <w:rPr>
          <w:b/>
          <w:sz w:val="96"/>
          <w:szCs w:val="96"/>
        </w:rPr>
      </w:pPr>
      <w:r w:rsidRPr="00962ABD">
        <w:rPr>
          <w:b/>
          <w:sz w:val="96"/>
          <w:szCs w:val="96"/>
        </w:rPr>
        <w:t xml:space="preserve">   </w:t>
      </w:r>
    </w:p>
    <w:p w:rsidR="00962ABD" w:rsidRDefault="00962ABD">
      <w:pPr>
        <w:rPr>
          <w:b/>
          <w:sz w:val="96"/>
          <w:szCs w:val="96"/>
        </w:rPr>
      </w:pPr>
    </w:p>
    <w:p w:rsidR="00A177C3" w:rsidRPr="00457B48" w:rsidRDefault="00962ABD">
      <w:pPr>
        <w:rPr>
          <w:b/>
          <w:sz w:val="96"/>
          <w:szCs w:val="96"/>
          <w:u w:val="single"/>
        </w:rPr>
        <w:sectPr w:rsidR="00A177C3" w:rsidRPr="00457B48" w:rsidSect="00457B48">
          <w:footerReference w:type="default" r:id="rId14"/>
          <w:footerReference w:type="first" r:id="rId15"/>
          <w:pgSz w:w="11907" w:h="16840" w:code="9"/>
          <w:pgMar w:top="1440" w:right="1440" w:bottom="1440" w:left="1440" w:header="720" w:footer="306" w:gutter="0"/>
          <w:paperSrc w:first="7" w:other="7"/>
          <w:cols w:space="720"/>
          <w:titlePg/>
        </w:sectPr>
      </w:pPr>
      <w:r>
        <w:rPr>
          <w:b/>
          <w:sz w:val="96"/>
          <w:szCs w:val="96"/>
        </w:rPr>
        <w:lastRenderedPageBreak/>
        <w:t xml:space="preserve">      </w:t>
      </w:r>
      <w:r w:rsidR="00457B48" w:rsidRPr="00457B48">
        <w:rPr>
          <w:b/>
          <w:sz w:val="96"/>
          <w:szCs w:val="96"/>
          <w:u w:val="single"/>
        </w:rPr>
        <w:t>Appendices</w:t>
      </w:r>
    </w:p>
    <w:p w:rsidR="003C34F6" w:rsidRDefault="003C34F6" w:rsidP="00DF6160">
      <w:pPr>
        <w:rPr>
          <w:b/>
        </w:rPr>
      </w:pPr>
      <w:r w:rsidRPr="003C34F6">
        <w:rPr>
          <w:noProof/>
        </w:rPr>
        <w:lastRenderedPageBreak/>
        <w:drawing>
          <wp:inline distT="0" distB="0" distL="0" distR="0">
            <wp:extent cx="9448800" cy="55054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177C3">
        <w:br w:type="page"/>
      </w:r>
      <w:r w:rsidRPr="003C34F6">
        <w:rPr>
          <w:b/>
          <w:noProof/>
        </w:rPr>
        <w:lastRenderedPageBreak/>
        <w:drawing>
          <wp:inline distT="0" distB="0" distL="0" distR="0">
            <wp:extent cx="9505950" cy="572452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3C34F6" w:rsidSect="003C34F6">
      <w:pgSz w:w="16840" w:h="11907" w:orient="landscape"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A5" w:rsidRDefault="002E1EA5">
      <w:r>
        <w:separator/>
      </w:r>
    </w:p>
  </w:endnote>
  <w:endnote w:type="continuationSeparator" w:id="0">
    <w:p w:rsidR="002E1EA5" w:rsidRDefault="002E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T369195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3B0B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3691C3o00">
    <w:panose1 w:val="00000000000000000000"/>
    <w:charset w:val="00"/>
    <w:family w:val="auto"/>
    <w:notTrueType/>
    <w:pitch w:val="default"/>
    <w:sig w:usb0="00000003" w:usb1="00000000" w:usb2="00000000" w:usb3="00000000" w:csb0="00000001" w:csb1="00000000"/>
  </w:font>
  <w:font w:name="TT3691B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895385"/>
      <w:docPartObj>
        <w:docPartGallery w:val="Page Numbers (Bottom of Page)"/>
        <w:docPartUnique/>
      </w:docPartObj>
    </w:sdtPr>
    <w:sdtEndPr>
      <w:rPr>
        <w:noProof/>
      </w:rPr>
    </w:sdtEndPr>
    <w:sdtContent>
      <w:p w:rsidR="002E1EA5" w:rsidRDefault="005455A5">
        <w:pPr>
          <w:pStyle w:val="Footer"/>
          <w:jc w:val="center"/>
        </w:pPr>
      </w:p>
    </w:sdtContent>
  </w:sdt>
  <w:p w:rsidR="002E1EA5" w:rsidRDefault="002E1EA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E1EA5">
      <w:tc>
        <w:tcPr>
          <w:tcW w:w="9243" w:type="dxa"/>
          <w:tcBorders>
            <w:top w:val="nil"/>
            <w:left w:val="nil"/>
            <w:bottom w:val="nil"/>
            <w:right w:val="nil"/>
          </w:tcBorders>
        </w:tcPr>
        <w:p w:rsidR="002E1EA5" w:rsidRDefault="002E1EA5">
          <w:pPr>
            <w:pStyle w:val="Footer"/>
            <w:tabs>
              <w:tab w:val="clear" w:pos="4153"/>
            </w:tabs>
            <w:ind w:right="-45"/>
            <w:jc w:val="right"/>
          </w:pPr>
          <w:r>
            <w:rPr>
              <w:noProof/>
            </w:rPr>
            <w:drawing>
              <wp:inline distT="0" distB="0" distL="0" distR="0">
                <wp:extent cx="1257300" cy="628650"/>
                <wp:effectExtent l="19050" t="0" r="0" b="0"/>
                <wp:docPr id="10"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2E1EA5" w:rsidRDefault="002E1EA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A5" w:rsidRDefault="002E1EA5">
      <w:r>
        <w:separator/>
      </w:r>
    </w:p>
  </w:footnote>
  <w:footnote w:type="continuationSeparator" w:id="0">
    <w:p w:rsidR="002E1EA5" w:rsidRDefault="002E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8"/>
    <w:lvl w:ilvl="0">
      <w:start w:val="1"/>
      <w:numFmt w:val="decimal"/>
      <w:lvlText w:val="%1."/>
      <w:lvlJc w:val="left"/>
      <w:pPr>
        <w:tabs>
          <w:tab w:val="num" w:pos="720"/>
        </w:tabs>
        <w:ind w:left="720" w:hanging="720"/>
      </w:pPr>
      <w:rPr>
        <w:rFonts w:ascii="Verdana" w:hAnsi="Verdana"/>
        <w:sz w:val="20"/>
        <w:szCs w:val="20"/>
      </w:rPr>
    </w:lvl>
  </w:abstractNum>
  <w:abstractNum w:abstractNumId="1">
    <w:nsid w:val="000B4694"/>
    <w:multiLevelType w:val="hybridMultilevel"/>
    <w:tmpl w:val="BB2CF7B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A048B"/>
    <w:multiLevelType w:val="hybridMultilevel"/>
    <w:tmpl w:val="9470F8A4"/>
    <w:lvl w:ilvl="0" w:tplc="78CC8C72">
      <w:start w:val="3"/>
      <w:numFmt w:val="bullet"/>
      <w:lvlText w:val="-"/>
      <w:lvlJc w:val="left"/>
      <w:pPr>
        <w:ind w:left="720" w:hanging="360"/>
      </w:pPr>
      <w:rPr>
        <w:rFonts w:ascii="TT369195o00" w:eastAsia="Times New Roman" w:hAnsi="TT369195o00" w:cs="TT369195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97906"/>
    <w:multiLevelType w:val="hybridMultilevel"/>
    <w:tmpl w:val="76FC0DE8"/>
    <w:lvl w:ilvl="0" w:tplc="8B42CFCC">
      <w:start w:val="27"/>
      <w:numFmt w:val="bullet"/>
      <w:lvlText w:val=""/>
      <w:lvlJc w:val="left"/>
      <w:pPr>
        <w:ind w:left="720" w:hanging="360"/>
      </w:pPr>
      <w:rPr>
        <w:rFonts w:ascii="Symbol" w:eastAsia="Times New Roman" w:hAnsi="Symbol" w:cs="TTE3B0B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83881"/>
    <w:multiLevelType w:val="hybridMultilevel"/>
    <w:tmpl w:val="02EC95CA"/>
    <w:lvl w:ilvl="0" w:tplc="1D5EE06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C36579"/>
    <w:multiLevelType w:val="hybridMultilevel"/>
    <w:tmpl w:val="9A9A9F9A"/>
    <w:lvl w:ilvl="0" w:tplc="9D06733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14B74"/>
    <w:multiLevelType w:val="hybridMultilevel"/>
    <w:tmpl w:val="0090E5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67962E6"/>
    <w:multiLevelType w:val="hybridMultilevel"/>
    <w:tmpl w:val="7D909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0E0C01"/>
    <w:multiLevelType w:val="hybridMultilevel"/>
    <w:tmpl w:val="C3C2686A"/>
    <w:lvl w:ilvl="0" w:tplc="E8349FBE">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84339"/>
    <w:multiLevelType w:val="hybridMultilevel"/>
    <w:tmpl w:val="4C20D44E"/>
    <w:lvl w:ilvl="0" w:tplc="08A04D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F65178"/>
    <w:multiLevelType w:val="hybridMultilevel"/>
    <w:tmpl w:val="5FA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603C9"/>
    <w:multiLevelType w:val="hybridMultilevel"/>
    <w:tmpl w:val="E13404D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E0418DF"/>
    <w:multiLevelType w:val="hybridMultilevel"/>
    <w:tmpl w:val="9EDE53C0"/>
    <w:lvl w:ilvl="0" w:tplc="8CAC34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2101D"/>
    <w:multiLevelType w:val="hybridMultilevel"/>
    <w:tmpl w:val="61DE1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F4CAA"/>
    <w:multiLevelType w:val="hybridMultilevel"/>
    <w:tmpl w:val="A1108C2C"/>
    <w:lvl w:ilvl="0" w:tplc="0809000F">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44146692"/>
    <w:multiLevelType w:val="hybridMultilevel"/>
    <w:tmpl w:val="6BE233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6AD1FF2"/>
    <w:multiLevelType w:val="hybridMultilevel"/>
    <w:tmpl w:val="6970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74C67"/>
    <w:multiLevelType w:val="singleLevel"/>
    <w:tmpl w:val="55A8656E"/>
    <w:lvl w:ilvl="0">
      <w:start w:val="1"/>
      <w:numFmt w:val="decimal"/>
      <w:lvlText w:val="%1."/>
      <w:lvlJc w:val="left"/>
      <w:pPr>
        <w:tabs>
          <w:tab w:val="num" w:pos="720"/>
        </w:tabs>
        <w:ind w:left="720" w:hanging="720"/>
      </w:pPr>
    </w:lvl>
  </w:abstractNum>
  <w:abstractNum w:abstractNumId="18">
    <w:nsid w:val="494B0899"/>
    <w:multiLevelType w:val="hybridMultilevel"/>
    <w:tmpl w:val="D3702A3A"/>
    <w:lvl w:ilvl="0" w:tplc="316EA3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175FE3"/>
    <w:multiLevelType w:val="hybridMultilevel"/>
    <w:tmpl w:val="C31ECC9C"/>
    <w:lvl w:ilvl="0" w:tplc="3B64DF6E">
      <w:start w:val="1"/>
      <w:numFmt w:val="decimal"/>
      <w:lvlText w:val="%1."/>
      <w:lvlJc w:val="left"/>
      <w:pPr>
        <w:ind w:left="786" w:hanging="360"/>
      </w:pPr>
      <w:rPr>
        <w:rFonts w:hint="default"/>
        <w:b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559F0CD8"/>
    <w:multiLevelType w:val="hybridMultilevel"/>
    <w:tmpl w:val="BCA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347E1E"/>
    <w:multiLevelType w:val="hybridMultilevel"/>
    <w:tmpl w:val="277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F3CC4"/>
    <w:multiLevelType w:val="hybridMultilevel"/>
    <w:tmpl w:val="B0D0D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187EAD"/>
    <w:multiLevelType w:val="hybridMultilevel"/>
    <w:tmpl w:val="A2A0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A753A"/>
    <w:multiLevelType w:val="hybridMultilevel"/>
    <w:tmpl w:val="5E323932"/>
    <w:lvl w:ilvl="0" w:tplc="65DACB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3574A"/>
    <w:multiLevelType w:val="hybridMultilevel"/>
    <w:tmpl w:val="EC3C6AD8"/>
    <w:lvl w:ilvl="0" w:tplc="78F019A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7"/>
  </w:num>
  <w:num w:numId="4">
    <w:abstractNumId w:val="15"/>
  </w:num>
  <w:num w:numId="5">
    <w:abstractNumId w:val="23"/>
  </w:num>
  <w:num w:numId="6">
    <w:abstractNumId w:val="22"/>
  </w:num>
  <w:num w:numId="7">
    <w:abstractNumId w:val="13"/>
  </w:num>
  <w:num w:numId="8">
    <w:abstractNumId w:val="14"/>
  </w:num>
  <w:num w:numId="9">
    <w:abstractNumId w:val="0"/>
  </w:num>
  <w:num w:numId="10">
    <w:abstractNumId w:val="6"/>
  </w:num>
  <w:num w:numId="11">
    <w:abstractNumId w:val="10"/>
  </w:num>
  <w:num w:numId="12">
    <w:abstractNumId w:val="24"/>
  </w:num>
  <w:num w:numId="13">
    <w:abstractNumId w:val="2"/>
  </w:num>
  <w:num w:numId="14">
    <w:abstractNumId w:val="21"/>
  </w:num>
  <w:num w:numId="15">
    <w:abstractNumId w:val="7"/>
  </w:num>
  <w:num w:numId="16">
    <w:abstractNumId w:val="1"/>
  </w:num>
  <w:num w:numId="17">
    <w:abstractNumId w:val="12"/>
  </w:num>
  <w:num w:numId="18">
    <w:abstractNumId w:val="4"/>
  </w:num>
  <w:num w:numId="19">
    <w:abstractNumId w:val="20"/>
  </w:num>
  <w:num w:numId="20">
    <w:abstractNumId w:val="11"/>
  </w:num>
  <w:num w:numId="21">
    <w:abstractNumId w:val="19"/>
  </w:num>
  <w:num w:numId="22">
    <w:abstractNumId w:val="5"/>
  </w:num>
  <w:num w:numId="23">
    <w:abstractNumId w:val="8"/>
  </w:num>
  <w:num w:numId="24">
    <w:abstractNumId w:val="3"/>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21EB"/>
    <w:rsid w:val="00010062"/>
    <w:rsid w:val="000250BE"/>
    <w:rsid w:val="00032D99"/>
    <w:rsid w:val="00033608"/>
    <w:rsid w:val="0004210E"/>
    <w:rsid w:val="00046E67"/>
    <w:rsid w:val="0006455C"/>
    <w:rsid w:val="000676A2"/>
    <w:rsid w:val="00074901"/>
    <w:rsid w:val="00075C29"/>
    <w:rsid w:val="000815C1"/>
    <w:rsid w:val="00094CC4"/>
    <w:rsid w:val="000965A2"/>
    <w:rsid w:val="00097A0D"/>
    <w:rsid w:val="000A4614"/>
    <w:rsid w:val="000A72B6"/>
    <w:rsid w:val="000B71C1"/>
    <w:rsid w:val="000B7BEC"/>
    <w:rsid w:val="000C22A9"/>
    <w:rsid w:val="000E7619"/>
    <w:rsid w:val="000F1A22"/>
    <w:rsid w:val="000F1CBE"/>
    <w:rsid w:val="000F4856"/>
    <w:rsid w:val="00103A87"/>
    <w:rsid w:val="00104F85"/>
    <w:rsid w:val="00111A9A"/>
    <w:rsid w:val="00111BF8"/>
    <w:rsid w:val="001124B0"/>
    <w:rsid w:val="00112FF3"/>
    <w:rsid w:val="00120C3C"/>
    <w:rsid w:val="00124AD6"/>
    <w:rsid w:val="00130B33"/>
    <w:rsid w:val="00133289"/>
    <w:rsid w:val="00134691"/>
    <w:rsid w:val="00135B00"/>
    <w:rsid w:val="001453CE"/>
    <w:rsid w:val="00155923"/>
    <w:rsid w:val="00167E1C"/>
    <w:rsid w:val="001836E2"/>
    <w:rsid w:val="001876A9"/>
    <w:rsid w:val="001902B6"/>
    <w:rsid w:val="0019760E"/>
    <w:rsid w:val="001A2A7A"/>
    <w:rsid w:val="001A491E"/>
    <w:rsid w:val="001B2F63"/>
    <w:rsid w:val="001C67BC"/>
    <w:rsid w:val="001C7027"/>
    <w:rsid w:val="001D1D5B"/>
    <w:rsid w:val="001E3AF0"/>
    <w:rsid w:val="001E6053"/>
    <w:rsid w:val="001E643C"/>
    <w:rsid w:val="001E7BFF"/>
    <w:rsid w:val="001F325D"/>
    <w:rsid w:val="0020099D"/>
    <w:rsid w:val="00202F32"/>
    <w:rsid w:val="00204381"/>
    <w:rsid w:val="00205462"/>
    <w:rsid w:val="00207D76"/>
    <w:rsid w:val="002100AD"/>
    <w:rsid w:val="002102F7"/>
    <w:rsid w:val="00214D21"/>
    <w:rsid w:val="002216DE"/>
    <w:rsid w:val="00222490"/>
    <w:rsid w:val="002339EF"/>
    <w:rsid w:val="002375FF"/>
    <w:rsid w:val="00247C29"/>
    <w:rsid w:val="00264227"/>
    <w:rsid w:val="00264333"/>
    <w:rsid w:val="0027027C"/>
    <w:rsid w:val="00277109"/>
    <w:rsid w:val="0028238A"/>
    <w:rsid w:val="002831CB"/>
    <w:rsid w:val="0028407E"/>
    <w:rsid w:val="0028461B"/>
    <w:rsid w:val="0028576C"/>
    <w:rsid w:val="00287610"/>
    <w:rsid w:val="002A0A28"/>
    <w:rsid w:val="002A1916"/>
    <w:rsid w:val="002A3994"/>
    <w:rsid w:val="002A6244"/>
    <w:rsid w:val="002A720F"/>
    <w:rsid w:val="002B060B"/>
    <w:rsid w:val="002B11AF"/>
    <w:rsid w:val="002C11CD"/>
    <w:rsid w:val="002C4D79"/>
    <w:rsid w:val="002E087B"/>
    <w:rsid w:val="002E16B0"/>
    <w:rsid w:val="002E1EA5"/>
    <w:rsid w:val="002E41FD"/>
    <w:rsid w:val="0032129A"/>
    <w:rsid w:val="00322071"/>
    <w:rsid w:val="00323279"/>
    <w:rsid w:val="00323C85"/>
    <w:rsid w:val="0033577B"/>
    <w:rsid w:val="00340827"/>
    <w:rsid w:val="00344486"/>
    <w:rsid w:val="00354CAC"/>
    <w:rsid w:val="00354F53"/>
    <w:rsid w:val="00357954"/>
    <w:rsid w:val="003662EE"/>
    <w:rsid w:val="00382002"/>
    <w:rsid w:val="00383F8F"/>
    <w:rsid w:val="0038479E"/>
    <w:rsid w:val="00387CA1"/>
    <w:rsid w:val="00390887"/>
    <w:rsid w:val="00394188"/>
    <w:rsid w:val="00394237"/>
    <w:rsid w:val="00396843"/>
    <w:rsid w:val="003A533A"/>
    <w:rsid w:val="003A645E"/>
    <w:rsid w:val="003A7929"/>
    <w:rsid w:val="003B3BE5"/>
    <w:rsid w:val="003C00FC"/>
    <w:rsid w:val="003C2126"/>
    <w:rsid w:val="003C34F6"/>
    <w:rsid w:val="003C480A"/>
    <w:rsid w:val="003D1CB8"/>
    <w:rsid w:val="003E363E"/>
    <w:rsid w:val="003E6A45"/>
    <w:rsid w:val="003F4C1E"/>
    <w:rsid w:val="003F53F8"/>
    <w:rsid w:val="004038BE"/>
    <w:rsid w:val="004067DE"/>
    <w:rsid w:val="00410768"/>
    <w:rsid w:val="00410B7C"/>
    <w:rsid w:val="00410BF2"/>
    <w:rsid w:val="004123F8"/>
    <w:rsid w:val="0042450E"/>
    <w:rsid w:val="00424742"/>
    <w:rsid w:val="0042486C"/>
    <w:rsid w:val="004262F6"/>
    <w:rsid w:val="0043457E"/>
    <w:rsid w:val="004375AD"/>
    <w:rsid w:val="00437DCF"/>
    <w:rsid w:val="00446A92"/>
    <w:rsid w:val="0044710C"/>
    <w:rsid w:val="0045359E"/>
    <w:rsid w:val="00454BF2"/>
    <w:rsid w:val="00457B48"/>
    <w:rsid w:val="00463E94"/>
    <w:rsid w:val="004764AB"/>
    <w:rsid w:val="0048117D"/>
    <w:rsid w:val="00481F0C"/>
    <w:rsid w:val="0049076A"/>
    <w:rsid w:val="00491B24"/>
    <w:rsid w:val="00492A2B"/>
    <w:rsid w:val="00496CC3"/>
    <w:rsid w:val="004A60EA"/>
    <w:rsid w:val="004B418C"/>
    <w:rsid w:val="004B5D96"/>
    <w:rsid w:val="004C50F4"/>
    <w:rsid w:val="004D3574"/>
    <w:rsid w:val="004D4931"/>
    <w:rsid w:val="004D7A17"/>
    <w:rsid w:val="004E1F6A"/>
    <w:rsid w:val="004E3449"/>
    <w:rsid w:val="004E6ECB"/>
    <w:rsid w:val="004F2069"/>
    <w:rsid w:val="004F48AF"/>
    <w:rsid w:val="004F6A12"/>
    <w:rsid w:val="0050344A"/>
    <w:rsid w:val="00510532"/>
    <w:rsid w:val="005205B0"/>
    <w:rsid w:val="005207C6"/>
    <w:rsid w:val="00520912"/>
    <w:rsid w:val="00523CB2"/>
    <w:rsid w:val="0053095C"/>
    <w:rsid w:val="00532C47"/>
    <w:rsid w:val="00534AA2"/>
    <w:rsid w:val="00537653"/>
    <w:rsid w:val="00541200"/>
    <w:rsid w:val="00543887"/>
    <w:rsid w:val="005455A5"/>
    <w:rsid w:val="0057412C"/>
    <w:rsid w:val="00574EBA"/>
    <w:rsid w:val="00581BB4"/>
    <w:rsid w:val="00585C63"/>
    <w:rsid w:val="0059385B"/>
    <w:rsid w:val="005A0855"/>
    <w:rsid w:val="005A2740"/>
    <w:rsid w:val="005B1A0C"/>
    <w:rsid w:val="005B46F3"/>
    <w:rsid w:val="005B5F7A"/>
    <w:rsid w:val="005D21D7"/>
    <w:rsid w:val="005D3D8B"/>
    <w:rsid w:val="005D42F1"/>
    <w:rsid w:val="005D44FE"/>
    <w:rsid w:val="005D60D0"/>
    <w:rsid w:val="005E0B2C"/>
    <w:rsid w:val="005E2499"/>
    <w:rsid w:val="005F04C1"/>
    <w:rsid w:val="006042F2"/>
    <w:rsid w:val="006078F6"/>
    <w:rsid w:val="006107B6"/>
    <w:rsid w:val="00611752"/>
    <w:rsid w:val="0061542D"/>
    <w:rsid w:val="00621B00"/>
    <w:rsid w:val="0062419C"/>
    <w:rsid w:val="0064230A"/>
    <w:rsid w:val="0064594A"/>
    <w:rsid w:val="00645A19"/>
    <w:rsid w:val="00651393"/>
    <w:rsid w:val="00656ECE"/>
    <w:rsid w:val="00657BEE"/>
    <w:rsid w:val="00671CDA"/>
    <w:rsid w:val="006808DD"/>
    <w:rsid w:val="00684CEA"/>
    <w:rsid w:val="006917B1"/>
    <w:rsid w:val="0069296A"/>
    <w:rsid w:val="006A2DEC"/>
    <w:rsid w:val="006A3150"/>
    <w:rsid w:val="006A4B55"/>
    <w:rsid w:val="006A4BC2"/>
    <w:rsid w:val="006B44AD"/>
    <w:rsid w:val="006B542A"/>
    <w:rsid w:val="006B6339"/>
    <w:rsid w:val="006C50A4"/>
    <w:rsid w:val="006E2470"/>
    <w:rsid w:val="006E478F"/>
    <w:rsid w:val="006F27C5"/>
    <w:rsid w:val="006F2947"/>
    <w:rsid w:val="006F63C1"/>
    <w:rsid w:val="006F7732"/>
    <w:rsid w:val="00703327"/>
    <w:rsid w:val="00704F6B"/>
    <w:rsid w:val="00707B60"/>
    <w:rsid w:val="00714805"/>
    <w:rsid w:val="0071674D"/>
    <w:rsid w:val="007171EE"/>
    <w:rsid w:val="00722803"/>
    <w:rsid w:val="007254AB"/>
    <w:rsid w:val="007333C9"/>
    <w:rsid w:val="00735017"/>
    <w:rsid w:val="00751CF1"/>
    <w:rsid w:val="007631BE"/>
    <w:rsid w:val="007673D4"/>
    <w:rsid w:val="0077166B"/>
    <w:rsid w:val="00772BBA"/>
    <w:rsid w:val="00772C6D"/>
    <w:rsid w:val="00774458"/>
    <w:rsid w:val="00775AF3"/>
    <w:rsid w:val="007808DE"/>
    <w:rsid w:val="00787A08"/>
    <w:rsid w:val="007927E3"/>
    <w:rsid w:val="007C1D76"/>
    <w:rsid w:val="007D3E95"/>
    <w:rsid w:val="007D4999"/>
    <w:rsid w:val="007E3513"/>
    <w:rsid w:val="007E62A2"/>
    <w:rsid w:val="007E78E6"/>
    <w:rsid w:val="007E7A9F"/>
    <w:rsid w:val="007F2D69"/>
    <w:rsid w:val="007F3957"/>
    <w:rsid w:val="00811ABB"/>
    <w:rsid w:val="0081275A"/>
    <w:rsid w:val="00815C08"/>
    <w:rsid w:val="00817036"/>
    <w:rsid w:val="00820B5B"/>
    <w:rsid w:val="00821EC2"/>
    <w:rsid w:val="00827743"/>
    <w:rsid w:val="008302D3"/>
    <w:rsid w:val="00830CB3"/>
    <w:rsid w:val="008322B2"/>
    <w:rsid w:val="00837A39"/>
    <w:rsid w:val="00854B51"/>
    <w:rsid w:val="00855415"/>
    <w:rsid w:val="00862A07"/>
    <w:rsid w:val="00866429"/>
    <w:rsid w:val="008664F8"/>
    <w:rsid w:val="008726E1"/>
    <w:rsid w:val="00880259"/>
    <w:rsid w:val="00883D1E"/>
    <w:rsid w:val="00894837"/>
    <w:rsid w:val="008A051C"/>
    <w:rsid w:val="008A5E88"/>
    <w:rsid w:val="008B6CAA"/>
    <w:rsid w:val="008C094C"/>
    <w:rsid w:val="008D59A3"/>
    <w:rsid w:val="008E0E40"/>
    <w:rsid w:val="008E31B9"/>
    <w:rsid w:val="008E498C"/>
    <w:rsid w:val="008E4EB3"/>
    <w:rsid w:val="008E6362"/>
    <w:rsid w:val="008E68E7"/>
    <w:rsid w:val="008F217F"/>
    <w:rsid w:val="008F2E4C"/>
    <w:rsid w:val="008F3C20"/>
    <w:rsid w:val="0090777C"/>
    <w:rsid w:val="00910A49"/>
    <w:rsid w:val="00916B3A"/>
    <w:rsid w:val="00916E34"/>
    <w:rsid w:val="00922347"/>
    <w:rsid w:val="00924F47"/>
    <w:rsid w:val="009327E0"/>
    <w:rsid w:val="00941A4E"/>
    <w:rsid w:val="00944842"/>
    <w:rsid w:val="0094605B"/>
    <w:rsid w:val="00952442"/>
    <w:rsid w:val="009559A2"/>
    <w:rsid w:val="009560BE"/>
    <w:rsid w:val="00962ABD"/>
    <w:rsid w:val="00963BC5"/>
    <w:rsid w:val="00971283"/>
    <w:rsid w:val="00973A3D"/>
    <w:rsid w:val="00980663"/>
    <w:rsid w:val="0098356A"/>
    <w:rsid w:val="00984C13"/>
    <w:rsid w:val="00991E97"/>
    <w:rsid w:val="0099227E"/>
    <w:rsid w:val="009A693F"/>
    <w:rsid w:val="009B3418"/>
    <w:rsid w:val="009B61F1"/>
    <w:rsid w:val="009D1168"/>
    <w:rsid w:val="009E7AAE"/>
    <w:rsid w:val="009F5952"/>
    <w:rsid w:val="00A0368D"/>
    <w:rsid w:val="00A153AE"/>
    <w:rsid w:val="00A15DB7"/>
    <w:rsid w:val="00A15E9F"/>
    <w:rsid w:val="00A177C3"/>
    <w:rsid w:val="00A17FF0"/>
    <w:rsid w:val="00A273CD"/>
    <w:rsid w:val="00A31AA5"/>
    <w:rsid w:val="00A33B69"/>
    <w:rsid w:val="00A42648"/>
    <w:rsid w:val="00A4517E"/>
    <w:rsid w:val="00A457F8"/>
    <w:rsid w:val="00A5129C"/>
    <w:rsid w:val="00A60C04"/>
    <w:rsid w:val="00A722F8"/>
    <w:rsid w:val="00A745F4"/>
    <w:rsid w:val="00A80C43"/>
    <w:rsid w:val="00A964EA"/>
    <w:rsid w:val="00AA4EB0"/>
    <w:rsid w:val="00AA58F8"/>
    <w:rsid w:val="00AB0B43"/>
    <w:rsid w:val="00AB33E0"/>
    <w:rsid w:val="00AB6A69"/>
    <w:rsid w:val="00AC007C"/>
    <w:rsid w:val="00AC373D"/>
    <w:rsid w:val="00AC5584"/>
    <w:rsid w:val="00AC6C0C"/>
    <w:rsid w:val="00AD1155"/>
    <w:rsid w:val="00AD2550"/>
    <w:rsid w:val="00AD4E55"/>
    <w:rsid w:val="00AD5E66"/>
    <w:rsid w:val="00AE2255"/>
    <w:rsid w:val="00AE7FD8"/>
    <w:rsid w:val="00AF2872"/>
    <w:rsid w:val="00AF32FD"/>
    <w:rsid w:val="00AF3520"/>
    <w:rsid w:val="00AF57C4"/>
    <w:rsid w:val="00AF5E5C"/>
    <w:rsid w:val="00AF6127"/>
    <w:rsid w:val="00B05891"/>
    <w:rsid w:val="00B10029"/>
    <w:rsid w:val="00B142F7"/>
    <w:rsid w:val="00B16E57"/>
    <w:rsid w:val="00B342CA"/>
    <w:rsid w:val="00B40EDB"/>
    <w:rsid w:val="00B422F4"/>
    <w:rsid w:val="00B52D86"/>
    <w:rsid w:val="00B53944"/>
    <w:rsid w:val="00B61BC0"/>
    <w:rsid w:val="00B65EAB"/>
    <w:rsid w:val="00B67789"/>
    <w:rsid w:val="00B73283"/>
    <w:rsid w:val="00B83572"/>
    <w:rsid w:val="00B8395C"/>
    <w:rsid w:val="00B8591B"/>
    <w:rsid w:val="00B93247"/>
    <w:rsid w:val="00BA384C"/>
    <w:rsid w:val="00BA5909"/>
    <w:rsid w:val="00BB08CC"/>
    <w:rsid w:val="00BB59BB"/>
    <w:rsid w:val="00BC03DE"/>
    <w:rsid w:val="00BC19E7"/>
    <w:rsid w:val="00BD0AB1"/>
    <w:rsid w:val="00BD2BC1"/>
    <w:rsid w:val="00BD677D"/>
    <w:rsid w:val="00BD72DF"/>
    <w:rsid w:val="00BD7A65"/>
    <w:rsid w:val="00BE6FB4"/>
    <w:rsid w:val="00BF228E"/>
    <w:rsid w:val="00BF704A"/>
    <w:rsid w:val="00C074BD"/>
    <w:rsid w:val="00C1047E"/>
    <w:rsid w:val="00C126D4"/>
    <w:rsid w:val="00C16350"/>
    <w:rsid w:val="00C20DC0"/>
    <w:rsid w:val="00C21314"/>
    <w:rsid w:val="00C21828"/>
    <w:rsid w:val="00C502CF"/>
    <w:rsid w:val="00C52015"/>
    <w:rsid w:val="00C533B9"/>
    <w:rsid w:val="00C53C4A"/>
    <w:rsid w:val="00C571B7"/>
    <w:rsid w:val="00C57E64"/>
    <w:rsid w:val="00C667E9"/>
    <w:rsid w:val="00C75B32"/>
    <w:rsid w:val="00C8126A"/>
    <w:rsid w:val="00C83B85"/>
    <w:rsid w:val="00C86A6C"/>
    <w:rsid w:val="00C8726A"/>
    <w:rsid w:val="00C87EF6"/>
    <w:rsid w:val="00C912AF"/>
    <w:rsid w:val="00C920DC"/>
    <w:rsid w:val="00CA0C77"/>
    <w:rsid w:val="00CA2C96"/>
    <w:rsid w:val="00CB5745"/>
    <w:rsid w:val="00CB591F"/>
    <w:rsid w:val="00CC1A26"/>
    <w:rsid w:val="00CD304A"/>
    <w:rsid w:val="00CD5239"/>
    <w:rsid w:val="00CE45DC"/>
    <w:rsid w:val="00CE573B"/>
    <w:rsid w:val="00D1218C"/>
    <w:rsid w:val="00D20CA5"/>
    <w:rsid w:val="00D21FEB"/>
    <w:rsid w:val="00D31C7D"/>
    <w:rsid w:val="00D33200"/>
    <w:rsid w:val="00D41D90"/>
    <w:rsid w:val="00D42FD4"/>
    <w:rsid w:val="00D50195"/>
    <w:rsid w:val="00D5428D"/>
    <w:rsid w:val="00D54461"/>
    <w:rsid w:val="00D57100"/>
    <w:rsid w:val="00D60FB3"/>
    <w:rsid w:val="00D624C8"/>
    <w:rsid w:val="00D64066"/>
    <w:rsid w:val="00D72B41"/>
    <w:rsid w:val="00D7377B"/>
    <w:rsid w:val="00D76CF6"/>
    <w:rsid w:val="00D81BDA"/>
    <w:rsid w:val="00D85271"/>
    <w:rsid w:val="00D857E5"/>
    <w:rsid w:val="00D86F73"/>
    <w:rsid w:val="00D91CCA"/>
    <w:rsid w:val="00DA0E70"/>
    <w:rsid w:val="00DA1C50"/>
    <w:rsid w:val="00DB45AE"/>
    <w:rsid w:val="00DB5EA1"/>
    <w:rsid w:val="00DB66C3"/>
    <w:rsid w:val="00DB73FB"/>
    <w:rsid w:val="00DC182E"/>
    <w:rsid w:val="00DC5123"/>
    <w:rsid w:val="00DC7924"/>
    <w:rsid w:val="00DD254C"/>
    <w:rsid w:val="00DD72EC"/>
    <w:rsid w:val="00DE0071"/>
    <w:rsid w:val="00DF2727"/>
    <w:rsid w:val="00DF3867"/>
    <w:rsid w:val="00DF476F"/>
    <w:rsid w:val="00DF6160"/>
    <w:rsid w:val="00E0561D"/>
    <w:rsid w:val="00E06E8C"/>
    <w:rsid w:val="00E1144F"/>
    <w:rsid w:val="00E13867"/>
    <w:rsid w:val="00E17FE5"/>
    <w:rsid w:val="00E25281"/>
    <w:rsid w:val="00E2715F"/>
    <w:rsid w:val="00E31C84"/>
    <w:rsid w:val="00E33B5B"/>
    <w:rsid w:val="00E345A6"/>
    <w:rsid w:val="00E346D3"/>
    <w:rsid w:val="00E36092"/>
    <w:rsid w:val="00E362C7"/>
    <w:rsid w:val="00E36F34"/>
    <w:rsid w:val="00E40463"/>
    <w:rsid w:val="00E43B3E"/>
    <w:rsid w:val="00E45243"/>
    <w:rsid w:val="00E45620"/>
    <w:rsid w:val="00E4692C"/>
    <w:rsid w:val="00E476E7"/>
    <w:rsid w:val="00E50963"/>
    <w:rsid w:val="00E5729D"/>
    <w:rsid w:val="00E57981"/>
    <w:rsid w:val="00E57F8F"/>
    <w:rsid w:val="00E6187B"/>
    <w:rsid w:val="00E662B0"/>
    <w:rsid w:val="00E66494"/>
    <w:rsid w:val="00E7693B"/>
    <w:rsid w:val="00E87B15"/>
    <w:rsid w:val="00E9010F"/>
    <w:rsid w:val="00E9245C"/>
    <w:rsid w:val="00EA2A56"/>
    <w:rsid w:val="00EA45E5"/>
    <w:rsid w:val="00EA4FED"/>
    <w:rsid w:val="00EB52C0"/>
    <w:rsid w:val="00EB6034"/>
    <w:rsid w:val="00EB76C2"/>
    <w:rsid w:val="00EC3900"/>
    <w:rsid w:val="00EC390E"/>
    <w:rsid w:val="00EE053F"/>
    <w:rsid w:val="00F00DA0"/>
    <w:rsid w:val="00F042A7"/>
    <w:rsid w:val="00F13ED4"/>
    <w:rsid w:val="00F22D30"/>
    <w:rsid w:val="00F27D8B"/>
    <w:rsid w:val="00F36B3C"/>
    <w:rsid w:val="00F37216"/>
    <w:rsid w:val="00F41D27"/>
    <w:rsid w:val="00F43F91"/>
    <w:rsid w:val="00F453CD"/>
    <w:rsid w:val="00F50691"/>
    <w:rsid w:val="00F54A38"/>
    <w:rsid w:val="00F5626C"/>
    <w:rsid w:val="00F604FF"/>
    <w:rsid w:val="00F651A4"/>
    <w:rsid w:val="00F66A7E"/>
    <w:rsid w:val="00F727EE"/>
    <w:rsid w:val="00F80C5B"/>
    <w:rsid w:val="00F83542"/>
    <w:rsid w:val="00F85A48"/>
    <w:rsid w:val="00F90829"/>
    <w:rsid w:val="00F95F07"/>
    <w:rsid w:val="00FA24FD"/>
    <w:rsid w:val="00FA66D2"/>
    <w:rsid w:val="00FB2308"/>
    <w:rsid w:val="00FB3510"/>
    <w:rsid w:val="00FD0C52"/>
    <w:rsid w:val="00FD32F6"/>
    <w:rsid w:val="00FD7A75"/>
    <w:rsid w:val="00FE20D8"/>
    <w:rsid w:val="00FE480A"/>
    <w:rsid w:val="00FE5D65"/>
    <w:rsid w:val="00FF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DAC8F1-F102-4B80-BEB2-9220CC3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8C"/>
    <w:rPr>
      <w:rFonts w:ascii="Arial" w:hAnsi="Arial"/>
      <w:sz w:val="24"/>
    </w:rPr>
  </w:style>
  <w:style w:type="paragraph" w:styleId="Heading1">
    <w:name w:val="heading 1"/>
    <w:basedOn w:val="Normal"/>
    <w:next w:val="Normal"/>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4B418C"/>
    <w:pPr>
      <w:keepNext/>
      <w:outlineLvl w:val="4"/>
    </w:pPr>
    <w:rPr>
      <w:rFonts w:ascii="Univers" w:hAnsi="Univers"/>
      <w:b/>
      <w:u w:val="single"/>
    </w:rPr>
  </w:style>
  <w:style w:type="paragraph" w:styleId="Heading6">
    <w:name w:val="heading 6"/>
    <w:basedOn w:val="Normal"/>
    <w:next w:val="Normal"/>
    <w:qFormat/>
    <w:rsid w:val="004B418C"/>
    <w:pPr>
      <w:keepNext/>
      <w:outlineLvl w:val="5"/>
    </w:pPr>
    <w:rPr>
      <w:rFonts w:ascii="Univers" w:hAnsi="Univers"/>
      <w:b/>
    </w:rPr>
  </w:style>
  <w:style w:type="paragraph" w:styleId="Heading7">
    <w:name w:val="heading 7"/>
    <w:basedOn w:val="Normal"/>
    <w:next w:val="Normal"/>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18C"/>
  </w:style>
  <w:style w:type="paragraph" w:customStyle="1" w:styleId="arial11">
    <w:name w:val="arial11"/>
    <w:basedOn w:val="Normal"/>
    <w:rsid w:val="004B418C"/>
  </w:style>
  <w:style w:type="paragraph" w:styleId="BodyText">
    <w:name w:val="Body Text"/>
    <w:basedOn w:val="Normal"/>
    <w:rsid w:val="004B418C"/>
  </w:style>
  <w:style w:type="paragraph" w:styleId="Footer">
    <w:name w:val="footer"/>
    <w:basedOn w:val="Normal"/>
    <w:link w:val="FooterChar"/>
    <w:uiPriority w:val="99"/>
    <w:rsid w:val="004B418C"/>
    <w:pPr>
      <w:tabs>
        <w:tab w:val="center" w:pos="4153"/>
        <w:tab w:val="right" w:pos="8306"/>
      </w:tabs>
    </w:pPr>
  </w:style>
  <w:style w:type="character" w:styleId="PageNumber">
    <w:name w:val="page number"/>
    <w:basedOn w:val="DefaultParagraphFont"/>
    <w:uiPriority w:val="99"/>
    <w:rsid w:val="004B418C"/>
  </w:style>
  <w:style w:type="paragraph" w:styleId="BalloonText">
    <w:name w:val="Balloon Text"/>
    <w:basedOn w:val="Normal"/>
    <w:semiHidden/>
    <w:rsid w:val="00357954"/>
    <w:rPr>
      <w:rFonts w:ascii="Tahoma" w:hAnsi="Tahoma" w:cs="Tahoma"/>
      <w:sz w:val="16"/>
      <w:szCs w:val="16"/>
    </w:rPr>
  </w:style>
  <w:style w:type="character" w:customStyle="1" w:styleId="Heading8Char">
    <w:name w:val="Heading 8 Char"/>
    <w:basedOn w:val="DefaultParagraphFont"/>
    <w:link w:val="Heading8"/>
    <w:uiPriority w:val="9"/>
    <w:semiHidden/>
    <w:rsid w:val="00E362C7"/>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E362C7"/>
    <w:rPr>
      <w:rFonts w:ascii="Arial" w:hAnsi="Arial"/>
      <w:sz w:val="24"/>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rsid w:val="00FB3510"/>
    <w:rPr>
      <w:rFonts w:ascii="Arial" w:hAnsi="Arial"/>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rsid w:val="00FB3510"/>
    <w:rPr>
      <w:rFonts w:ascii="Arial" w:hAnsi="Arial"/>
      <w:b/>
      <w:bCs/>
    </w:rPr>
  </w:style>
  <w:style w:type="character" w:customStyle="1" w:styleId="Heading3Char">
    <w:name w:val="Heading 3 Char"/>
    <w:basedOn w:val="DefaultParagraphFont"/>
    <w:link w:val="Heading3"/>
    <w:uiPriority w:val="9"/>
    <w:semiHidden/>
    <w:rsid w:val="00735017"/>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F13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15C08"/>
    <w:pPr>
      <w:widowControl w:val="0"/>
      <w:suppressAutoHyphens/>
    </w:pPr>
    <w:rPr>
      <w:rFonts w:ascii="Times New Roman" w:eastAsia="Lucida Sans Unicode" w:hAnsi="Times New Roman"/>
      <w:kern w:val="1"/>
      <w:sz w:val="20"/>
    </w:rPr>
  </w:style>
  <w:style w:type="character" w:customStyle="1" w:styleId="FootnoteTextChar">
    <w:name w:val="Footnote Text Char"/>
    <w:basedOn w:val="DefaultParagraphFont"/>
    <w:link w:val="FootnoteText"/>
    <w:semiHidden/>
    <w:rsid w:val="00815C08"/>
    <w:rPr>
      <w:rFonts w:eastAsia="Lucida Sans Unicode"/>
      <w:kern w:val="1"/>
    </w:rPr>
  </w:style>
  <w:style w:type="character" w:styleId="FootnoteReference">
    <w:name w:val="footnote reference"/>
    <w:basedOn w:val="DefaultParagraphFont"/>
    <w:semiHidden/>
    <w:rsid w:val="00815C08"/>
    <w:rPr>
      <w:vertAlign w:val="superscript"/>
    </w:rPr>
  </w:style>
  <w:style w:type="character" w:styleId="Hyperlink">
    <w:name w:val="Hyperlink"/>
    <w:basedOn w:val="DefaultParagraphFont"/>
    <w:rsid w:val="00815C08"/>
    <w:rPr>
      <w:color w:val="0000FF"/>
      <w:u w:val="single"/>
    </w:rPr>
  </w:style>
  <w:style w:type="paragraph" w:styleId="Revision">
    <w:name w:val="Revision"/>
    <w:hidden/>
    <w:uiPriority w:val="99"/>
    <w:semiHidden/>
    <w:rsid w:val="004535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630">
      <w:bodyDiv w:val="1"/>
      <w:marLeft w:val="0"/>
      <w:marRight w:val="0"/>
      <w:marTop w:val="0"/>
      <w:marBottom w:val="0"/>
      <w:divBdr>
        <w:top w:val="none" w:sz="0" w:space="0" w:color="auto"/>
        <w:left w:val="none" w:sz="0" w:space="0" w:color="auto"/>
        <w:bottom w:val="none" w:sz="0" w:space="0" w:color="auto"/>
        <w:right w:val="none" w:sz="0" w:space="0" w:color="auto"/>
      </w:divBdr>
    </w:div>
    <w:div w:id="495145874">
      <w:bodyDiv w:val="1"/>
      <w:marLeft w:val="0"/>
      <w:marRight w:val="0"/>
      <w:marTop w:val="0"/>
      <w:marBottom w:val="0"/>
      <w:divBdr>
        <w:top w:val="none" w:sz="0" w:space="0" w:color="auto"/>
        <w:left w:val="none" w:sz="0" w:space="0" w:color="auto"/>
        <w:bottom w:val="none" w:sz="0" w:space="0" w:color="auto"/>
        <w:right w:val="none" w:sz="0" w:space="0" w:color="auto"/>
      </w:divBdr>
    </w:div>
    <w:div w:id="660040625">
      <w:bodyDiv w:val="1"/>
      <w:marLeft w:val="0"/>
      <w:marRight w:val="0"/>
      <w:marTop w:val="0"/>
      <w:marBottom w:val="0"/>
      <w:divBdr>
        <w:top w:val="none" w:sz="0" w:space="0" w:color="auto"/>
        <w:left w:val="none" w:sz="0" w:space="0" w:color="auto"/>
        <w:bottom w:val="none" w:sz="0" w:space="0" w:color="auto"/>
        <w:right w:val="none" w:sz="0" w:space="0" w:color="auto"/>
      </w:divBdr>
    </w:div>
    <w:div w:id="1179272750">
      <w:bodyDiv w:val="1"/>
      <w:marLeft w:val="0"/>
      <w:marRight w:val="0"/>
      <w:marTop w:val="0"/>
      <w:marBottom w:val="0"/>
      <w:divBdr>
        <w:top w:val="none" w:sz="0" w:space="0" w:color="auto"/>
        <w:left w:val="none" w:sz="0" w:space="0" w:color="auto"/>
        <w:bottom w:val="none" w:sz="0" w:space="0" w:color="auto"/>
        <w:right w:val="none" w:sz="0" w:space="0" w:color="auto"/>
      </w:divBdr>
    </w:div>
    <w:div w:id="1205485325">
      <w:bodyDiv w:val="1"/>
      <w:marLeft w:val="0"/>
      <w:marRight w:val="0"/>
      <w:marTop w:val="0"/>
      <w:marBottom w:val="0"/>
      <w:divBdr>
        <w:top w:val="none" w:sz="0" w:space="0" w:color="auto"/>
        <w:left w:val="none" w:sz="0" w:space="0" w:color="auto"/>
        <w:bottom w:val="none" w:sz="0" w:space="0" w:color="auto"/>
        <w:right w:val="none" w:sz="0" w:space="0" w:color="auto"/>
      </w:divBdr>
    </w:div>
    <w:div w:id="1293168043">
      <w:bodyDiv w:val="1"/>
      <w:marLeft w:val="0"/>
      <w:marRight w:val="0"/>
      <w:marTop w:val="0"/>
      <w:marBottom w:val="0"/>
      <w:divBdr>
        <w:top w:val="none" w:sz="0" w:space="0" w:color="auto"/>
        <w:left w:val="none" w:sz="0" w:space="0" w:color="auto"/>
        <w:bottom w:val="none" w:sz="0" w:space="0" w:color="auto"/>
        <w:right w:val="none" w:sz="0" w:space="0" w:color="auto"/>
      </w:divBdr>
    </w:div>
    <w:div w:id="1929119672">
      <w:bodyDiv w:val="1"/>
      <w:marLeft w:val="0"/>
      <w:marRight w:val="0"/>
      <w:marTop w:val="0"/>
      <w:marBottom w:val="0"/>
      <w:divBdr>
        <w:top w:val="none" w:sz="0" w:space="0" w:color="auto"/>
        <w:left w:val="none" w:sz="0" w:space="0" w:color="auto"/>
        <w:bottom w:val="none" w:sz="0" w:space="0" w:color="auto"/>
        <w:right w:val="none" w:sz="0" w:space="0" w:color="auto"/>
      </w:divBdr>
    </w:div>
    <w:div w:id="2090611152">
      <w:bodyDiv w:val="1"/>
      <w:marLeft w:val="0"/>
      <w:marRight w:val="0"/>
      <w:marTop w:val="0"/>
      <w:marBottom w:val="0"/>
      <w:divBdr>
        <w:top w:val="none" w:sz="0" w:space="0" w:color="auto"/>
        <w:left w:val="none" w:sz="0" w:space="0" w:color="auto"/>
        <w:bottom w:val="none" w:sz="0" w:space="0" w:color="auto"/>
        <w:right w:val="none" w:sz="0" w:space="0" w:color="auto"/>
      </w:divBdr>
    </w:div>
    <w:div w:id="21347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orpdata02\res\County%20Treasurer\Accounting%20and%20Taxation\Accounting\LCC\Accounts\2013-14\Treasury\Year%20End%20Closure\13-14\WPs\Borrowings\Debt%20Monitoring%2013-14%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res\County%20Treasurer\Accounting%20and%20Taxation\Accounting\LCC\Accounts\2013-14\Treasury\Year%20End%20Closure\13-14\WPs\Borrowings\Debt%20Monitoring%2013-14%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pcrotty001\Local%20Settings\Temporary%20Internet%20Files\Content.Outlook\GYF4GPSZ\Benchmarking%20credit%20scores%202014%2003%2031%20-%20Lancashir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pcrotty001\Local%20Settings\Temporary%20Internet%20Files\Content.Outlook\GYF4GPSZ\Benchmarking%20credit%20scores%202014%2003%2031%20-%20Lancashi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16216712712118"/>
          <c:y val="0.16805214188771492"/>
          <c:w val="0.67475995336621375"/>
          <c:h val="0.59412529857121965"/>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'Debt by Maturity'!$C$84:$I$84</c:f>
              <c:strCache>
                <c:ptCount val="7"/>
                <c:pt idx="0">
                  <c:v>&lt; 12 mths</c:v>
                </c:pt>
                <c:pt idx="1">
                  <c:v>12 mths - 2yrs</c:v>
                </c:pt>
                <c:pt idx="2">
                  <c:v>2yrs - 5yrs</c:v>
                </c:pt>
                <c:pt idx="3">
                  <c:v>5yrs - 10yrs</c:v>
                </c:pt>
                <c:pt idx="4">
                  <c:v>10yrs - 15yrs</c:v>
                </c:pt>
                <c:pt idx="5">
                  <c:v>15yrs &gt;</c:v>
                </c:pt>
                <c:pt idx="6">
                  <c:v>Uncertain</c:v>
                </c:pt>
              </c:strCache>
            </c:strRef>
          </c:cat>
          <c:val>
            <c:numRef>
              <c:f>'Debt by Maturity'!$C$85:$I$85</c:f>
              <c:numCache>
                <c:formatCode>_-* #,##0_-;\-* #,##0_-;_-* "-"??_-;_-@_-</c:formatCode>
                <c:ptCount val="7"/>
                <c:pt idx="0">
                  <c:v>378.72064710000001</c:v>
                </c:pt>
                <c:pt idx="1">
                  <c:v>15</c:v>
                </c:pt>
                <c:pt idx="2">
                  <c:v>22.5</c:v>
                </c:pt>
                <c:pt idx="3">
                  <c:v>171.75</c:v>
                </c:pt>
                <c:pt idx="4">
                  <c:v>48.4</c:v>
                </c:pt>
                <c:pt idx="5">
                  <c:v>126.2</c:v>
                </c:pt>
                <c:pt idx="6">
                  <c:v>50</c:v>
                </c:pt>
              </c:numCache>
            </c:numRef>
          </c:val>
        </c:ser>
        <c:dLbls>
          <c:showLegendKey val="0"/>
          <c:showVal val="0"/>
          <c:showCatName val="0"/>
          <c:showSerName val="0"/>
          <c:showPercent val="0"/>
          <c:showBubbleSize val="0"/>
        </c:dLbls>
        <c:gapWidth val="150"/>
        <c:axId val="100868896"/>
        <c:axId val="139027848"/>
      </c:barChart>
      <c:catAx>
        <c:axId val="100868896"/>
        <c:scaling>
          <c:orientation val="minMax"/>
        </c:scaling>
        <c:delete val="0"/>
        <c:axPos val="b"/>
        <c:numFmt formatCode="General" sourceLinked="0"/>
        <c:majorTickMark val="out"/>
        <c:minorTickMark val="none"/>
        <c:tickLblPos val="nextTo"/>
        <c:txPr>
          <a:bodyPr/>
          <a:lstStyle/>
          <a:p>
            <a:pPr>
              <a:defRPr sz="1200" b="1">
                <a:latin typeface="Arial" pitchFamily="34" charset="0"/>
                <a:cs typeface="Arial" pitchFamily="34" charset="0"/>
              </a:defRPr>
            </a:pPr>
            <a:endParaRPr lang="en-US"/>
          </a:p>
        </c:txPr>
        <c:crossAx val="139027848"/>
        <c:crosses val="autoZero"/>
        <c:auto val="1"/>
        <c:lblAlgn val="ctr"/>
        <c:lblOffset val="100"/>
        <c:noMultiLvlLbl val="0"/>
      </c:catAx>
      <c:valAx>
        <c:axId val="139027848"/>
        <c:scaling>
          <c:orientation val="minMax"/>
        </c:scaling>
        <c:delete val="0"/>
        <c:axPos val="l"/>
        <c:majorGridlines/>
        <c:numFmt formatCode="_-* #,##0_-;\-* #,##0_-;_-* &quot;-&quot;??_-;_-@_-" sourceLinked="1"/>
        <c:majorTickMark val="out"/>
        <c:minorTickMark val="none"/>
        <c:tickLblPos val="nextTo"/>
        <c:txPr>
          <a:bodyPr/>
          <a:lstStyle/>
          <a:p>
            <a:pPr>
              <a:defRPr sz="1200" b="1">
                <a:latin typeface="Arial" pitchFamily="34" charset="0"/>
                <a:cs typeface="Arial" pitchFamily="34" charset="0"/>
              </a:defRPr>
            </a:pPr>
            <a:endParaRPr lang="en-US"/>
          </a:p>
        </c:txPr>
        <c:crossAx val="100868896"/>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pitchFamily="34" charset="0"/>
                <a:ea typeface="Calibri"/>
                <a:cs typeface="Arial" pitchFamily="34" charset="0"/>
              </a:defRPr>
            </a:pPr>
            <a:r>
              <a:rPr lang="en-GB" sz="1200" b="1" i="0" u="none" strike="noStrike" baseline="0">
                <a:solidFill>
                  <a:srgbClr val="000000"/>
                </a:solidFill>
                <a:latin typeface="Arial" pitchFamily="34" charset="0"/>
                <a:cs typeface="Arial" pitchFamily="34" charset="0"/>
              </a:rPr>
              <a:t>DEBT PORTFOLIO (£m)</a:t>
            </a:r>
          </a:p>
          <a:p>
            <a:pPr>
              <a:defRPr sz="1200" b="0" i="0" u="none" strike="noStrike" baseline="0">
                <a:solidFill>
                  <a:srgbClr val="000000"/>
                </a:solidFill>
                <a:latin typeface="Arial" pitchFamily="34" charset="0"/>
                <a:ea typeface="Calibri"/>
                <a:cs typeface="Arial" pitchFamily="34" charset="0"/>
              </a:defRPr>
            </a:pPr>
            <a:r>
              <a:rPr lang="en-GB" sz="1200" b="1" i="0" u="none" strike="noStrike" baseline="0">
                <a:solidFill>
                  <a:srgbClr val="000000"/>
                </a:solidFill>
                <a:latin typeface="Arial" pitchFamily="34" charset="0"/>
                <a:cs typeface="Arial" pitchFamily="34" charset="0"/>
              </a:rPr>
              <a:t>AS AT 31/03/14</a:t>
            </a:r>
          </a:p>
        </c:rich>
      </c:tx>
      <c:layout/>
      <c:overlay val="0"/>
    </c:title>
    <c:autoTitleDeleted val="0"/>
    <c:plotArea>
      <c:layout/>
      <c:pieChart>
        <c:varyColors val="1"/>
        <c:ser>
          <c:idx val="0"/>
          <c:order val="0"/>
          <c:dLbls>
            <c:spPr>
              <a:noFill/>
              <a:ln>
                <a:noFill/>
              </a:ln>
              <a:effectLst/>
            </c:spPr>
            <c:txPr>
              <a:bodyPr/>
              <a:lstStyle/>
              <a:p>
                <a:pPr>
                  <a:defRPr sz="1200" b="0" i="0" u="none" strike="noStrike" baseline="0">
                    <a:solidFill>
                      <a:srgbClr val="000000"/>
                    </a:solidFill>
                    <a:latin typeface="Arial" pitchFamily="34" charset="0"/>
                    <a:ea typeface="Calibri"/>
                    <a:cs typeface="Arial" pitchFamily="34" charset="0"/>
                  </a:defRPr>
                </a:pPr>
                <a:endParaRPr lang="en-US"/>
              </a:p>
            </c:txPr>
            <c:dLblPos val="bestFit"/>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'Debt by Maturity'!$A$18:$A$24</c:f>
              <c:strCache>
                <c:ptCount val="7"/>
                <c:pt idx="0">
                  <c:v>PWLB fixed</c:v>
                </c:pt>
                <c:pt idx="1">
                  <c:v>PWLB variable</c:v>
                </c:pt>
                <c:pt idx="2">
                  <c:v>LOBO</c:v>
                </c:pt>
                <c:pt idx="3">
                  <c:v>ST &amp; LT Market</c:v>
                </c:pt>
                <c:pt idx="4">
                  <c:v>Bonds</c:v>
                </c:pt>
                <c:pt idx="5">
                  <c:v>SIS</c:v>
                </c:pt>
                <c:pt idx="6">
                  <c:v>Police &amp; Fire</c:v>
                </c:pt>
              </c:strCache>
            </c:strRef>
          </c:cat>
          <c:val>
            <c:numRef>
              <c:f>'Debt by Maturity'!$B$18:$B$24</c:f>
              <c:numCache>
                <c:formatCode>0.00</c:formatCode>
                <c:ptCount val="7"/>
                <c:pt idx="0">
                  <c:v>213.10000004000003</c:v>
                </c:pt>
                <c:pt idx="1">
                  <c:v>125.75</c:v>
                </c:pt>
                <c:pt idx="2">
                  <c:v>52.235000000000063</c:v>
                </c:pt>
                <c:pt idx="3">
                  <c:v>330.95</c:v>
                </c:pt>
                <c:pt idx="4">
                  <c:v>2.1950000000000001E-2</c:v>
                </c:pt>
                <c:pt idx="5">
                  <c:v>29.41</c:v>
                </c:pt>
                <c:pt idx="6">
                  <c:v>63.360647099999994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LCC Investments Asset Classes</a:t>
            </a:r>
            <a:r>
              <a:rPr lang="en-GB" baseline="0"/>
              <a:t> 31.03.2014</a:t>
            </a:r>
            <a:endParaRPr lang="en-GB"/>
          </a:p>
        </c:rich>
      </c:tx>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'[Chart in Microsoft Office Word]Chart'!$A$15:$A$18</c:f>
              <c:strCache>
                <c:ptCount val="4"/>
                <c:pt idx="0">
                  <c:v>Call, MMF &amp; &lt; 1yr</c:v>
                </c:pt>
                <c:pt idx="1">
                  <c:v>Fixed Term Deposits</c:v>
                </c:pt>
                <c:pt idx="2">
                  <c:v>Local Authority Bonds</c:v>
                </c:pt>
                <c:pt idx="3">
                  <c:v>UK Govt and other bonds</c:v>
                </c:pt>
              </c:strCache>
            </c:strRef>
          </c:cat>
          <c:val>
            <c:numRef>
              <c:f>'[Chart in Microsoft Office Word]Chart'!$B$15:$B$18</c:f>
              <c:numCache>
                <c:formatCode>0.00</c:formatCode>
                <c:ptCount val="4"/>
                <c:pt idx="0">
                  <c:v>77.748000000000005</c:v>
                </c:pt>
                <c:pt idx="1">
                  <c:v>120.18187138396003</c:v>
                </c:pt>
                <c:pt idx="2">
                  <c:v>20.310868921028334</c:v>
                </c:pt>
                <c:pt idx="3">
                  <c:v>368.82776300229369</c:v>
                </c:pt>
              </c:numCache>
            </c:numRef>
          </c:val>
        </c:ser>
        <c:ser>
          <c:idx val="1"/>
          <c:order val="1"/>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'[Chart in Microsoft Office Word]Chart'!$A$15:$A$18</c:f>
              <c:strCache>
                <c:ptCount val="4"/>
                <c:pt idx="0">
                  <c:v>Call, MMF &amp; &lt; 1yr</c:v>
                </c:pt>
                <c:pt idx="1">
                  <c:v>Fixed Term Deposits</c:v>
                </c:pt>
                <c:pt idx="2">
                  <c:v>Local Authority Bonds</c:v>
                </c:pt>
                <c:pt idx="3">
                  <c:v>UK Govt and other bonds</c:v>
                </c:pt>
              </c:strCache>
            </c:strRef>
          </c:cat>
          <c:val>
            <c:numRef>
              <c:f>'[Chart in Microsoft Office Word]Chart'!$C$15:$C$18</c:f>
              <c:numCache>
                <c:formatCode>0%</c:formatCode>
                <c:ptCount val="4"/>
                <c:pt idx="0">
                  <c:v>0.13243428928992582</c:v>
                </c:pt>
                <c:pt idx="1">
                  <c:v>0.20471524312224196</c:v>
                </c:pt>
                <c:pt idx="2">
                  <c:v>3.45971020530072E-2</c:v>
                </c:pt>
                <c:pt idx="3">
                  <c:v>0.62825336553482725</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w="9525">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993366"/>
                </a:solidFill>
                <a:latin typeface="Trebuchet MS"/>
                <a:ea typeface="Trebuchet MS"/>
                <a:cs typeface="Trebuchet MS"/>
              </a:defRPr>
            </a:pPr>
            <a:r>
              <a:rPr lang="en-US"/>
              <a:t>Arlingclose Client Benchmarking</a:t>
            </a:r>
          </a:p>
        </c:rich>
      </c:tx>
      <c:layout/>
      <c:overlay val="0"/>
    </c:title>
    <c:autoTitleDeleted val="0"/>
    <c:plotArea>
      <c:layout>
        <c:manualLayout>
          <c:layoutTarget val="inner"/>
          <c:xMode val="edge"/>
          <c:yMode val="edge"/>
          <c:x val="8.606447271014285E-2"/>
          <c:y val="7.9812842292351333E-2"/>
          <c:w val="0.90158250218722202"/>
          <c:h val="0.73076537086407822"/>
        </c:manualLayout>
      </c:layout>
      <c:scatterChart>
        <c:scatterStyle val="lineMarker"/>
        <c:varyColors val="0"/>
        <c:ser>
          <c:idx val="0"/>
          <c:order val="0"/>
          <c:tx>
            <c:v>Benchmarking</c:v>
          </c:tx>
          <c:spPr>
            <a:ln w="28575">
              <a:noFill/>
            </a:ln>
          </c:spPr>
          <c:marker>
            <c:symbol val="diamond"/>
            <c:size val="5"/>
            <c:spPr>
              <a:solidFill>
                <a:schemeClr val="accent1"/>
              </a:solidFill>
              <a:ln>
                <a:noFill/>
              </a:ln>
            </c:spPr>
          </c:marker>
          <c:trendline>
            <c:trendlineType val="linear"/>
            <c:dispRSqr val="0"/>
            <c:dispEq val="0"/>
          </c:trendline>
          <c:xVal>
            <c:numRef>
              <c:f>Benchmarking!$O$14:$O$141</c:f>
              <c:numCache>
                <c:formatCode>0.00</c:formatCode>
                <c:ptCount val="128"/>
                <c:pt idx="0">
                  <c:v>2.834424462137469</c:v>
                </c:pt>
                <c:pt idx="1">
                  <c:v>4.6099999999999985</c:v>
                </c:pt>
                <c:pt idx="4">
                  <c:v>4.3199999999999985</c:v>
                </c:pt>
                <c:pt idx="5">
                  <c:v>4.1342045410531965</c:v>
                </c:pt>
                <c:pt idx="6">
                  <c:v>5.097973164344932</c:v>
                </c:pt>
                <c:pt idx="7">
                  <c:v>3.3909208605424062</c:v>
                </c:pt>
                <c:pt idx="8">
                  <c:v>4.6797247603982495</c:v>
                </c:pt>
                <c:pt idx="9">
                  <c:v>3.9493211291263952</c:v>
                </c:pt>
                <c:pt idx="10">
                  <c:v>4.4639167085806264</c:v>
                </c:pt>
                <c:pt idx="11">
                  <c:v>4.6678407140405076</c:v>
                </c:pt>
                <c:pt idx="12">
                  <c:v>3.2528837712322671</c:v>
                </c:pt>
                <c:pt idx="13">
                  <c:v>4.9292798272650291</c:v>
                </c:pt>
                <c:pt idx="14">
                  <c:v>5.8481249999999845</c:v>
                </c:pt>
                <c:pt idx="15">
                  <c:v>3.3737400230897241</c:v>
                </c:pt>
                <c:pt idx="16">
                  <c:v>5.4350847457627118</c:v>
                </c:pt>
                <c:pt idx="17">
                  <c:v>5.4</c:v>
                </c:pt>
                <c:pt idx="18">
                  <c:v>6.4125271002710038</c:v>
                </c:pt>
                <c:pt idx="19">
                  <c:v>5.9459459459459456</c:v>
                </c:pt>
                <c:pt idx="20">
                  <c:v>4.4469102390617845</c:v>
                </c:pt>
                <c:pt idx="22">
                  <c:v>5.6473310408556845</c:v>
                </c:pt>
                <c:pt idx="23">
                  <c:v>4.9062690301739877</c:v>
                </c:pt>
                <c:pt idx="25">
                  <c:v>6</c:v>
                </c:pt>
                <c:pt idx="26">
                  <c:v>4.6399999999999997</c:v>
                </c:pt>
                <c:pt idx="27">
                  <c:v>6</c:v>
                </c:pt>
                <c:pt idx="28">
                  <c:v>5.23</c:v>
                </c:pt>
                <c:pt idx="29">
                  <c:v>5.1599999999999975</c:v>
                </c:pt>
                <c:pt idx="30">
                  <c:v>4</c:v>
                </c:pt>
                <c:pt idx="31">
                  <c:v>5.25</c:v>
                </c:pt>
                <c:pt idx="32">
                  <c:v>5.0199999999999996</c:v>
                </c:pt>
                <c:pt idx="33">
                  <c:v>6.0395197607074618</c:v>
                </c:pt>
                <c:pt idx="34">
                  <c:v>5.4135876171031887</c:v>
                </c:pt>
                <c:pt idx="35">
                  <c:v>5.1740294223179042</c:v>
                </c:pt>
                <c:pt idx="36">
                  <c:v>5.338842975206612</c:v>
                </c:pt>
                <c:pt idx="37">
                  <c:v>6.0919275249714895</c:v>
                </c:pt>
                <c:pt idx="38">
                  <c:v>5.9224345679012069</c:v>
                </c:pt>
                <c:pt idx="39">
                  <c:v>5.0175904228222095</c:v>
                </c:pt>
                <c:pt idx="40">
                  <c:v>5.5473333333333334</c:v>
                </c:pt>
                <c:pt idx="41">
                  <c:v>5.2644871794871655</c:v>
                </c:pt>
                <c:pt idx="42">
                  <c:v>5.0798659183037103</c:v>
                </c:pt>
                <c:pt idx="43">
                  <c:v>4.9776718168839054</c:v>
                </c:pt>
                <c:pt idx="44">
                  <c:v>5.6534896511211885</c:v>
                </c:pt>
                <c:pt idx="45">
                  <c:v>5.4997066526977472</c:v>
                </c:pt>
                <c:pt idx="46">
                  <c:v>5.0771513002363955</c:v>
                </c:pt>
                <c:pt idx="48">
                  <c:v>4.9537493579866494</c:v>
                </c:pt>
                <c:pt idx="49">
                  <c:v>5.618631966835534</c:v>
                </c:pt>
                <c:pt idx="50">
                  <c:v>6.6708799662159297</c:v>
                </c:pt>
                <c:pt idx="51">
                  <c:v>4.8720984315846581</c:v>
                </c:pt>
                <c:pt idx="52">
                  <c:v>6.5034645274699034</c:v>
                </c:pt>
                <c:pt idx="53">
                  <c:v>5.2491705069124395</c:v>
                </c:pt>
                <c:pt idx="54">
                  <c:v>7.3708075165058355</c:v>
                </c:pt>
                <c:pt idx="55">
                  <c:v>1.8212793314046918</c:v>
                </c:pt>
                <c:pt idx="56">
                  <c:v>5.5444548703169652</c:v>
                </c:pt>
                <c:pt idx="57">
                  <c:v>3.1889186888037462</c:v>
                </c:pt>
                <c:pt idx="59">
                  <c:v>6.4543387223374644</c:v>
                </c:pt>
                <c:pt idx="60">
                  <c:v>4.8397626391310364</c:v>
                </c:pt>
                <c:pt idx="61">
                  <c:v>5.0267963860250076</c:v>
                </c:pt>
                <c:pt idx="62">
                  <c:v>4.6482525278212545</c:v>
                </c:pt>
                <c:pt idx="63">
                  <c:v>4.0833333333333517</c:v>
                </c:pt>
                <c:pt idx="64">
                  <c:v>5.1945907473309338</c:v>
                </c:pt>
                <c:pt idx="65">
                  <c:v>5.7293311058584013</c:v>
                </c:pt>
                <c:pt idx="66">
                  <c:v>5.3080997289111433</c:v>
                </c:pt>
                <c:pt idx="67">
                  <c:v>5.2090738666183718</c:v>
                </c:pt>
                <c:pt idx="68">
                  <c:v>5.67</c:v>
                </c:pt>
                <c:pt idx="69">
                  <c:v>5.8426918131161596</c:v>
                </c:pt>
                <c:pt idx="70">
                  <c:v>2.9011158529708192</c:v>
                </c:pt>
                <c:pt idx="71">
                  <c:v>4.8069247720586095</c:v>
                </c:pt>
                <c:pt idx="72">
                  <c:v>4.8752879236590978</c:v>
                </c:pt>
                <c:pt idx="73">
                  <c:v>5.3153314121037463</c:v>
                </c:pt>
                <c:pt idx="74">
                  <c:v>4.5185185185184906</c:v>
                </c:pt>
                <c:pt idx="75">
                  <c:v>4.4291596709912664</c:v>
                </c:pt>
                <c:pt idx="76">
                  <c:v>4.3983365084931307</c:v>
                </c:pt>
                <c:pt idx="77">
                  <c:v>7</c:v>
                </c:pt>
                <c:pt idx="78">
                  <c:v>5.3633068860808955</c:v>
                </c:pt>
                <c:pt idx="79">
                  <c:v>4.4295965553684695</c:v>
                </c:pt>
                <c:pt idx="80">
                  <c:v>5.0053905824458598</c:v>
                </c:pt>
                <c:pt idx="81">
                  <c:v>4.8802862356562855</c:v>
                </c:pt>
                <c:pt idx="82">
                  <c:v>5.0323944709949684</c:v>
                </c:pt>
                <c:pt idx="83">
                  <c:v>5.2991438429100821</c:v>
                </c:pt>
                <c:pt idx="84">
                  <c:v>6.7879310344827575</c:v>
                </c:pt>
                <c:pt idx="85">
                  <c:v>4.7629354284587651</c:v>
                </c:pt>
                <c:pt idx="86">
                  <c:v>5.1413229453101321</c:v>
                </c:pt>
                <c:pt idx="87">
                  <c:v>5.3199999999999985</c:v>
                </c:pt>
                <c:pt idx="88">
                  <c:v>3.9699999999999998</c:v>
                </c:pt>
                <c:pt idx="89">
                  <c:v>6</c:v>
                </c:pt>
                <c:pt idx="90">
                  <c:v>5.4029376736800305</c:v>
                </c:pt>
                <c:pt idx="91">
                  <c:v>4.0985723771580345</c:v>
                </c:pt>
                <c:pt idx="92">
                  <c:v>1.8778280542986419</c:v>
                </c:pt>
                <c:pt idx="93">
                  <c:v>4.4717678169713935</c:v>
                </c:pt>
                <c:pt idx="94">
                  <c:v>5.2694864489736304</c:v>
                </c:pt>
                <c:pt idx="95">
                  <c:v>4.1599999999999975</c:v>
                </c:pt>
                <c:pt idx="96">
                  <c:v>3.29</c:v>
                </c:pt>
                <c:pt idx="97">
                  <c:v>4.8897006695549425</c:v>
                </c:pt>
                <c:pt idx="98">
                  <c:v>5.8775791433891991</c:v>
                </c:pt>
                <c:pt idx="99">
                  <c:v>6.4153118279569679</c:v>
                </c:pt>
                <c:pt idx="100">
                  <c:v>4.6307866341802955</c:v>
                </c:pt>
                <c:pt idx="101">
                  <c:v>7.6460905349794235</c:v>
                </c:pt>
                <c:pt idx="102">
                  <c:v>6</c:v>
                </c:pt>
                <c:pt idx="103">
                  <c:v>4.8279999999999816</c:v>
                </c:pt>
                <c:pt idx="104">
                  <c:v>5.04</c:v>
                </c:pt>
                <c:pt idx="105">
                  <c:v>4.01</c:v>
                </c:pt>
                <c:pt idx="106">
                  <c:v>5.73</c:v>
                </c:pt>
                <c:pt idx="107">
                  <c:v>6.39</c:v>
                </c:pt>
                <c:pt idx="109">
                  <c:v>4.5999999999999996</c:v>
                </c:pt>
                <c:pt idx="110">
                  <c:v>5.3094875960730405</c:v>
                </c:pt>
                <c:pt idx="111">
                  <c:v>6.0527045869144755</c:v>
                </c:pt>
                <c:pt idx="112">
                  <c:v>5.1960026200689855</c:v>
                </c:pt>
                <c:pt idx="113">
                  <c:v>6.0001529826451874</c:v>
                </c:pt>
                <c:pt idx="114">
                  <c:v>6</c:v>
                </c:pt>
                <c:pt idx="115">
                  <c:v>6.5410471190698498</c:v>
                </c:pt>
                <c:pt idx="116">
                  <c:v>5.1938584421724068</c:v>
                </c:pt>
                <c:pt idx="117">
                  <c:v>2.3744126279969877</c:v>
                </c:pt>
                <c:pt idx="118">
                  <c:v>5.2222222222222223</c:v>
                </c:pt>
                <c:pt idx="119">
                  <c:v>8.0989917506874409</c:v>
                </c:pt>
                <c:pt idx="120">
                  <c:v>6.09</c:v>
                </c:pt>
                <c:pt idx="121">
                  <c:v>3.73</c:v>
                </c:pt>
                <c:pt idx="122">
                  <c:v>5.6899999999999995</c:v>
                </c:pt>
                <c:pt idx="123">
                  <c:v>4.8236297301535114</c:v>
                </c:pt>
                <c:pt idx="125">
                  <c:v>2.6</c:v>
                </c:pt>
                <c:pt idx="126">
                  <c:v>1.9010989010989021</c:v>
                </c:pt>
                <c:pt idx="127">
                  <c:v>5.6128251663641855</c:v>
                </c:pt>
              </c:numCache>
            </c:numRef>
          </c:xVal>
          <c:yVal>
            <c:numRef>
              <c:f>Benchmarking!$J$14:$J$141</c:f>
              <c:numCache>
                <c:formatCode>0.00%</c:formatCode>
                <c:ptCount val="128"/>
                <c:pt idx="0">
                  <c:v>2.6939570347016512E-2</c:v>
                </c:pt>
                <c:pt idx="1">
                  <c:v>6.6000000000000034E-3</c:v>
                </c:pt>
                <c:pt idx="4">
                  <c:v>9.6000000000000026E-3</c:v>
                </c:pt>
                <c:pt idx="5">
                  <c:v>5.8428282348810924E-3</c:v>
                </c:pt>
                <c:pt idx="6">
                  <c:v>5.1015179846742933E-3</c:v>
                </c:pt>
                <c:pt idx="7">
                  <c:v>8.8199922195048852E-3</c:v>
                </c:pt>
                <c:pt idx="8">
                  <c:v>7.3367571722341542E-3</c:v>
                </c:pt>
                <c:pt idx="9">
                  <c:v>1.9492007430710816E-2</c:v>
                </c:pt>
                <c:pt idx="10">
                  <c:v>4.2975797203500714E-3</c:v>
                </c:pt>
                <c:pt idx="11">
                  <c:v>6.9598027754892173E-3</c:v>
                </c:pt>
                <c:pt idx="12">
                  <c:v>4.0679900120872805E-3</c:v>
                </c:pt>
                <c:pt idx="13">
                  <c:v>4.6684283186521564E-3</c:v>
                </c:pt>
                <c:pt idx="14">
                  <c:v>6.1296875000000023E-3</c:v>
                </c:pt>
                <c:pt idx="15">
                  <c:v>2.0007836868939831E-2</c:v>
                </c:pt>
                <c:pt idx="16">
                  <c:v>5.9322033898305511E-3</c:v>
                </c:pt>
                <c:pt idx="17">
                  <c:v>4.7500000000000034E-3</c:v>
                </c:pt>
                <c:pt idx="18">
                  <c:v>6.3544715447154468E-3</c:v>
                </c:pt>
                <c:pt idx="19">
                  <c:v>5.4270270270270274E-3</c:v>
                </c:pt>
                <c:pt idx="20">
                  <c:v>1.0497293640054126E-2</c:v>
                </c:pt>
                <c:pt idx="22">
                  <c:v>1.4489718964445416E-2</c:v>
                </c:pt>
                <c:pt idx="23">
                  <c:v>4.8980539974392183E-3</c:v>
                </c:pt>
                <c:pt idx="25">
                  <c:v>1.0000000000000005E-2</c:v>
                </c:pt>
                <c:pt idx="26">
                  <c:v>4.8000000000000004E-3</c:v>
                </c:pt>
                <c:pt idx="27">
                  <c:v>5.6455042821463072E-3</c:v>
                </c:pt>
                <c:pt idx="28">
                  <c:v>6.800000000000017E-3</c:v>
                </c:pt>
                <c:pt idx="29">
                  <c:v>6.9000000000000198E-3</c:v>
                </c:pt>
                <c:pt idx="30">
                  <c:v>4.7000000000000123E-3</c:v>
                </c:pt>
                <c:pt idx="31">
                  <c:v>5.9000000000000198E-3</c:v>
                </c:pt>
                <c:pt idx="32">
                  <c:v>4.5000000000000014E-3</c:v>
                </c:pt>
                <c:pt idx="33">
                  <c:v>7.5959716758010514E-3</c:v>
                </c:pt>
                <c:pt idx="34">
                  <c:v>4.2621012963220328E-3</c:v>
                </c:pt>
                <c:pt idx="35">
                  <c:v>6.4594187298170312E-3</c:v>
                </c:pt>
                <c:pt idx="36">
                  <c:v>6.5613223140496167E-3</c:v>
                </c:pt>
                <c:pt idx="37">
                  <c:v>5.4875675005817423E-3</c:v>
                </c:pt>
                <c:pt idx="38">
                  <c:v>5.8627160493827145E-3</c:v>
                </c:pt>
                <c:pt idx="39">
                  <c:v>5.7252165053489554E-3</c:v>
                </c:pt>
                <c:pt idx="40">
                  <c:v>6.8908752136752141E-3</c:v>
                </c:pt>
                <c:pt idx="41">
                  <c:v>6.3435897435897524E-3</c:v>
                </c:pt>
                <c:pt idx="42">
                  <c:v>4.7545681322107933E-3</c:v>
                </c:pt>
                <c:pt idx="43">
                  <c:v>6.3263931754089673E-3</c:v>
                </c:pt>
                <c:pt idx="44">
                  <c:v>6.2553361359706334E-3</c:v>
                </c:pt>
                <c:pt idx="45">
                  <c:v>8.3038239916186727E-3</c:v>
                </c:pt>
                <c:pt idx="46">
                  <c:v>6.5884751773049813E-3</c:v>
                </c:pt>
                <c:pt idx="48">
                  <c:v>7.7744762811473153E-3</c:v>
                </c:pt>
                <c:pt idx="49">
                  <c:v>5.9554890219560884E-3</c:v>
                </c:pt>
                <c:pt idx="50">
                  <c:v>6.9029999955580509E-3</c:v>
                </c:pt>
                <c:pt idx="51">
                  <c:v>4.0697971876690357E-3</c:v>
                </c:pt>
                <c:pt idx="52">
                  <c:v>5.7378690616254387E-3</c:v>
                </c:pt>
                <c:pt idx="53">
                  <c:v>5.9400921658986604E-3</c:v>
                </c:pt>
                <c:pt idx="54">
                  <c:v>8.7021914677501179E-3</c:v>
                </c:pt>
                <c:pt idx="55">
                  <c:v>2.5891996142719496E-3</c:v>
                </c:pt>
                <c:pt idx="56">
                  <c:v>6.9760945502017517E-3</c:v>
                </c:pt>
                <c:pt idx="57">
                  <c:v>1.2943550446998783E-2</c:v>
                </c:pt>
                <c:pt idx="59">
                  <c:v>4.0000000000000114E-3</c:v>
                </c:pt>
                <c:pt idx="60">
                  <c:v>5.2604398551696404E-3</c:v>
                </c:pt>
                <c:pt idx="61">
                  <c:v>7.2900622942221396E-3</c:v>
                </c:pt>
                <c:pt idx="62">
                  <c:v>6.1834799945321289E-3</c:v>
                </c:pt>
                <c:pt idx="63">
                  <c:v>4.4062500000000273E-3</c:v>
                </c:pt>
                <c:pt idx="64">
                  <c:v>4.0664139857651471E-3</c:v>
                </c:pt>
                <c:pt idx="65">
                  <c:v>5.9186462808735133E-3</c:v>
                </c:pt>
                <c:pt idx="66">
                  <c:v>5.3667044981324024E-3</c:v>
                </c:pt>
                <c:pt idx="67">
                  <c:v>4.5558379741713721E-3</c:v>
                </c:pt>
                <c:pt idx="68">
                  <c:v>4.3000000000000104E-3</c:v>
                </c:pt>
                <c:pt idx="69">
                  <c:v>7.9597085297899734E-3</c:v>
                </c:pt>
                <c:pt idx="70">
                  <c:v>4.3980615374540214E-3</c:v>
                </c:pt>
                <c:pt idx="71">
                  <c:v>6.7682620556698617E-3</c:v>
                </c:pt>
                <c:pt idx="72">
                  <c:v>6.1892221125370546E-3</c:v>
                </c:pt>
                <c:pt idx="73">
                  <c:v>7.1634365994236414E-3</c:v>
                </c:pt>
                <c:pt idx="74">
                  <c:v>5.7777777777777784E-3</c:v>
                </c:pt>
                <c:pt idx="75">
                  <c:v>5.6139054581531419E-3</c:v>
                </c:pt>
                <c:pt idx="76">
                  <c:v>6.7020463764402034E-3</c:v>
                </c:pt>
                <c:pt idx="77">
                  <c:v>7.0000000000000114E-3</c:v>
                </c:pt>
                <c:pt idx="78">
                  <c:v>9.2821040258595361E-3</c:v>
                </c:pt>
                <c:pt idx="79">
                  <c:v>6.1813392902086836E-3</c:v>
                </c:pt>
                <c:pt idx="80">
                  <c:v>5.5933673860370948E-3</c:v>
                </c:pt>
                <c:pt idx="81">
                  <c:v>8.4272521130497515E-3</c:v>
                </c:pt>
                <c:pt idx="82">
                  <c:v>3.7038835320819404E-3</c:v>
                </c:pt>
                <c:pt idx="83">
                  <c:v>2.9104847297354859E-2</c:v>
                </c:pt>
                <c:pt idx="84">
                  <c:v>5.0183908045977011E-3</c:v>
                </c:pt>
                <c:pt idx="85">
                  <c:v>5.6336698487792682E-3</c:v>
                </c:pt>
                <c:pt idx="86">
                  <c:v>6.0208542758936794E-3</c:v>
                </c:pt>
                <c:pt idx="87">
                  <c:v>6.0000000000000114E-3</c:v>
                </c:pt>
                <c:pt idx="88">
                  <c:v>5.1999999999999998E-3</c:v>
                </c:pt>
                <c:pt idx="89">
                  <c:v>2.5000000000000079E-3</c:v>
                </c:pt>
                <c:pt idx="90">
                  <c:v>7.6740770146883899E-3</c:v>
                </c:pt>
                <c:pt idx="91">
                  <c:v>4.7489773406374485E-3</c:v>
                </c:pt>
                <c:pt idx="92">
                  <c:v>2.8393665158371042E-3</c:v>
                </c:pt>
                <c:pt idx="93">
                  <c:v>5.9365023542788499E-3</c:v>
                </c:pt>
                <c:pt idx="94">
                  <c:v>7.0957703265395571E-3</c:v>
                </c:pt>
                <c:pt idx="95">
                  <c:v>4.6000000000000034E-3</c:v>
                </c:pt>
                <c:pt idx="96">
                  <c:v>7.6999999999999999E-2</c:v>
                </c:pt>
                <c:pt idx="97">
                  <c:v>4.464883206592541E-3</c:v>
                </c:pt>
                <c:pt idx="98">
                  <c:v>5.5575907821229223E-3</c:v>
                </c:pt>
                <c:pt idx="99">
                  <c:v>6.3943655913978534E-3</c:v>
                </c:pt>
                <c:pt idx="100">
                  <c:v>5.6323440078666093E-3</c:v>
                </c:pt>
                <c:pt idx="101">
                  <c:v>8.9506172839506626E-3</c:v>
                </c:pt>
                <c:pt idx="102">
                  <c:v>5.9810867727437787E-3</c:v>
                </c:pt>
                <c:pt idx="103">
                  <c:v>4.8400000000000014E-3</c:v>
                </c:pt>
                <c:pt idx="104">
                  <c:v>5.5000000000000014E-3</c:v>
                </c:pt>
                <c:pt idx="105">
                  <c:v>3.3000000000000052E-3</c:v>
                </c:pt>
                <c:pt idx="106">
                  <c:v>5.3000000000000104E-3</c:v>
                </c:pt>
                <c:pt idx="107">
                  <c:v>5.1999999999999998E-3</c:v>
                </c:pt>
                <c:pt idx="109">
                  <c:v>7.2000000000000189E-3</c:v>
                </c:pt>
                <c:pt idx="110">
                  <c:v>5.7689282522373452E-3</c:v>
                </c:pt>
                <c:pt idx="111">
                  <c:v>1.0396267012575688E-2</c:v>
                </c:pt>
                <c:pt idx="112">
                  <c:v>6.5930045851207639E-3</c:v>
                </c:pt>
                <c:pt idx="113">
                  <c:v>4.7515511278328343E-3</c:v>
                </c:pt>
                <c:pt idx="114">
                  <c:v>8.0000000000000227E-3</c:v>
                </c:pt>
                <c:pt idx="115">
                  <c:v>2.2099416157909852E-2</c:v>
                </c:pt>
                <c:pt idx="116">
                  <c:v>4.345993317245612E-3</c:v>
                </c:pt>
                <c:pt idx="117">
                  <c:v>2.9154986036692013E-3</c:v>
                </c:pt>
                <c:pt idx="118">
                  <c:v>5.8523809523809475E-3</c:v>
                </c:pt>
                <c:pt idx="119">
                  <c:v>9.9935838680110523E-3</c:v>
                </c:pt>
                <c:pt idx="120">
                  <c:v>6.6000000000000034E-3</c:v>
                </c:pt>
                <c:pt idx="121">
                  <c:v>5.1000000000000004E-3</c:v>
                </c:pt>
                <c:pt idx="122">
                  <c:v>6.0000000000000114E-3</c:v>
                </c:pt>
                <c:pt idx="123">
                  <c:v>4.4985215999834034E-3</c:v>
                </c:pt>
                <c:pt idx="125">
                  <c:v>3.8903508771929987E-3</c:v>
                </c:pt>
                <c:pt idx="126">
                  <c:v>2.9761904761904812E-3</c:v>
                </c:pt>
                <c:pt idx="127">
                  <c:v>7.0399274047187278E-3</c:v>
                </c:pt>
              </c:numCache>
            </c:numRef>
          </c:yVal>
          <c:smooth val="0"/>
        </c:ser>
        <c:ser>
          <c:idx val="1"/>
          <c:order val="1"/>
          <c:tx>
            <c:v>Average</c:v>
          </c:tx>
          <c:spPr>
            <a:ln w="28575">
              <a:noFill/>
            </a:ln>
          </c:spPr>
          <c:marker>
            <c:symbol val="none"/>
          </c:marker>
          <c:errBars>
            <c:errDir val="x"/>
            <c:errBarType val="both"/>
            <c:errValType val="fixedVal"/>
            <c:noEndCap val="0"/>
            <c:val val="1200"/>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Benchmarking!$O$142</c:f>
              <c:numCache>
                <c:formatCode>0.00</c:formatCode>
                <c:ptCount val="1"/>
                <c:pt idx="0">
                  <c:v>5.0520438734050686</c:v>
                </c:pt>
              </c:numCache>
            </c:numRef>
          </c:xVal>
          <c:yVal>
            <c:numRef>
              <c:f>Benchmarking!$J$142</c:f>
              <c:numCache>
                <c:formatCode>0.00%</c:formatCode>
                <c:ptCount val="1"/>
                <c:pt idx="0">
                  <c:v>7.4090880516671578E-3</c:v>
                </c:pt>
              </c:numCache>
            </c:numRef>
          </c:yVal>
          <c:smooth val="0"/>
        </c:ser>
        <c:ser>
          <c:idx val="2"/>
          <c:order val="2"/>
          <c:tx>
            <c:v>SD +</c:v>
          </c:tx>
          <c:spPr>
            <a:ln w="28575">
              <a:noFill/>
            </a:ln>
          </c:spPr>
          <c:marker>
            <c:symbol val="none"/>
          </c:marker>
          <c:errBars>
            <c:errDir val="x"/>
            <c:errBarType val="both"/>
            <c:errValType val="fixedVal"/>
            <c:noEndCap val="0"/>
            <c:val val="10"/>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Benchmarking!$O$144</c:f>
              <c:numCache>
                <c:formatCode>0.00</c:formatCode>
                <c:ptCount val="1"/>
                <c:pt idx="0">
                  <c:v>6.151605286592047</c:v>
                </c:pt>
              </c:numCache>
            </c:numRef>
          </c:xVal>
          <c:yVal>
            <c:numRef>
              <c:f>Benchmarking!$J$144</c:f>
              <c:numCache>
                <c:formatCode>0.00%</c:formatCode>
                <c:ptCount val="1"/>
                <c:pt idx="0">
                  <c:v>1.4985624987789837E-2</c:v>
                </c:pt>
              </c:numCache>
            </c:numRef>
          </c:yVal>
          <c:smooth val="0"/>
        </c:ser>
        <c:ser>
          <c:idx val="3"/>
          <c:order val="3"/>
          <c:tx>
            <c:v>SD -</c:v>
          </c:tx>
          <c:spPr>
            <a:ln w="28575">
              <a:noFill/>
            </a:ln>
          </c:spPr>
          <c:marker>
            <c:symbol val="none"/>
          </c:marker>
          <c:errBars>
            <c:errDir val="x"/>
            <c:errBarType val="both"/>
            <c:errValType val="fixedVal"/>
            <c:noEndCap val="0"/>
            <c:val val="6"/>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Benchmarking!$O$145</c:f>
              <c:numCache>
                <c:formatCode>0.00</c:formatCode>
                <c:ptCount val="1"/>
                <c:pt idx="0">
                  <c:v>3.9524824602180768</c:v>
                </c:pt>
              </c:numCache>
            </c:numRef>
          </c:xVal>
          <c:yVal>
            <c:numRef>
              <c:f>Benchmarking!$J$145</c:f>
              <c:numCache>
                <c:formatCode>0.00%</c:formatCode>
                <c:ptCount val="1"/>
                <c:pt idx="0">
                  <c:v>-1.6744888445558023E-4</c:v>
                </c:pt>
              </c:numCache>
            </c:numRef>
          </c:yVal>
          <c:smooth val="0"/>
        </c:ser>
        <c:ser>
          <c:idx val="7"/>
          <c:order val="4"/>
          <c:tx>
            <c:strRef>
              <c:f>Benchmarking!$B$14</c:f>
              <c:strCache>
                <c:ptCount val="1"/>
                <c:pt idx="0">
                  <c:v>Lancashire CC - 31/03/2014</c:v>
                </c:pt>
              </c:strCache>
            </c:strRef>
          </c:tx>
          <c:spPr>
            <a:ln w="28575">
              <a:noFill/>
            </a:ln>
          </c:spPr>
          <c:marker>
            <c:symbol val="circle"/>
            <c:size val="8"/>
            <c:spPr>
              <a:solidFill>
                <a:srgbClr val="00B0F0"/>
              </a:solidFill>
              <a:ln>
                <a:solidFill>
                  <a:schemeClr val="tx1"/>
                </a:solidFill>
              </a:ln>
            </c:spPr>
          </c:marker>
          <c:xVal>
            <c:numRef>
              <c:f>Benchmarking!$O$14</c:f>
              <c:numCache>
                <c:formatCode>0.00</c:formatCode>
                <c:ptCount val="1"/>
                <c:pt idx="0">
                  <c:v>2.834424462137469</c:v>
                </c:pt>
              </c:numCache>
            </c:numRef>
          </c:xVal>
          <c:yVal>
            <c:numRef>
              <c:f>Benchmarking!$J$14</c:f>
              <c:numCache>
                <c:formatCode>0.00%</c:formatCode>
                <c:ptCount val="1"/>
                <c:pt idx="0">
                  <c:v>2.6939570347016512E-2</c:v>
                </c:pt>
              </c:numCache>
            </c:numRef>
          </c:yVal>
          <c:smooth val="0"/>
        </c:ser>
        <c:dLbls>
          <c:showLegendKey val="0"/>
          <c:showVal val="0"/>
          <c:showCatName val="0"/>
          <c:showSerName val="0"/>
          <c:showPercent val="0"/>
          <c:showBubbleSize val="0"/>
        </c:dLbls>
        <c:axId val="139029808"/>
        <c:axId val="139030200"/>
      </c:scatterChart>
      <c:valAx>
        <c:axId val="139029808"/>
        <c:scaling>
          <c:orientation val="minMax"/>
          <c:max val="8.5"/>
          <c:min val="1"/>
        </c:scaling>
        <c:delete val="0"/>
        <c:axPos val="b"/>
        <c:title>
          <c:tx>
            <c:rich>
              <a:bodyPr/>
              <a:lstStyle/>
              <a:p>
                <a:pPr>
                  <a:defRPr sz="1000" b="1" i="0" u="none" strike="noStrike" baseline="0">
                    <a:solidFill>
                      <a:srgbClr val="993366"/>
                    </a:solidFill>
                    <a:latin typeface="Trebuchet MS"/>
                    <a:ea typeface="Trebuchet MS"/>
                    <a:cs typeface="Trebuchet MS"/>
                  </a:defRPr>
                </a:pPr>
                <a:r>
                  <a:rPr lang="en-US"/>
                  <a:t>Average Credit Risk Score - Valued Weighted Average</a:t>
                </a:r>
              </a:p>
            </c:rich>
          </c:tx>
          <c:layout>
            <c:manualLayout>
              <c:xMode val="edge"/>
              <c:yMode val="edge"/>
              <c:x val="0.35558452116562633"/>
              <c:y val="0.87642829685659784"/>
            </c:manualLayout>
          </c:layout>
          <c:overlay val="0"/>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9030200"/>
        <c:crosses val="autoZero"/>
        <c:crossBetween val="midCat"/>
        <c:majorUnit val="1"/>
      </c:valAx>
      <c:valAx>
        <c:axId val="139030200"/>
        <c:scaling>
          <c:orientation val="minMax"/>
          <c:max val="3.0000000000000016E-2"/>
          <c:min val="0"/>
        </c:scaling>
        <c:delete val="0"/>
        <c:axPos val="l"/>
        <c:title>
          <c:tx>
            <c:rich>
              <a:bodyPr/>
              <a:lstStyle/>
              <a:p>
                <a:pPr>
                  <a:defRPr sz="1000" b="1" i="0" u="none" strike="noStrike" baseline="0">
                    <a:solidFill>
                      <a:srgbClr val="993366"/>
                    </a:solidFill>
                    <a:latin typeface="Trebuchet MS"/>
                    <a:ea typeface="Trebuchet MS"/>
                    <a:cs typeface="Trebuchet MS"/>
                  </a:defRPr>
                </a:pPr>
                <a:r>
                  <a:rPr lang="en-US"/>
                  <a:t>Average Rate of Investments</a:t>
                </a:r>
              </a:p>
            </c:rich>
          </c:tx>
          <c:layout/>
          <c:overlay val="0"/>
        </c:title>
        <c:numFmt formatCode="0.00%" sourceLinked="1"/>
        <c:majorTickMark val="out"/>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en-US"/>
          </a:p>
        </c:txPr>
        <c:crossAx val="139029808"/>
        <c:crosses val="autoZero"/>
        <c:crossBetween val="midCat"/>
      </c:valAx>
      <c:spPr>
        <a:solidFill>
          <a:sysClr val="window" lastClr="FFFFFF">
            <a:lumMod val="85000"/>
          </a:sysClr>
        </a:solidFill>
        <a:ln>
          <a:solidFill>
            <a:schemeClr val="tx1"/>
          </a:solidFill>
        </a:ln>
      </c:spPr>
    </c:plotArea>
    <c:legend>
      <c:legendPos val="r"/>
      <c:legendEntry>
        <c:idx val="1"/>
        <c:delete val="1"/>
      </c:legendEntry>
      <c:legendEntry>
        <c:idx val="2"/>
        <c:delete val="1"/>
      </c:legendEntry>
      <c:legendEntry>
        <c:idx val="3"/>
        <c:delete val="1"/>
      </c:legendEntry>
      <c:legendEntry>
        <c:idx val="5"/>
        <c:delete val="1"/>
      </c:legendEntry>
      <c:layout>
        <c:manualLayout>
          <c:xMode val="edge"/>
          <c:yMode val="edge"/>
          <c:x val="1.4358974358974359E-2"/>
          <c:y val="0.95118110236220477"/>
          <c:w val="0.96512820512820563"/>
          <c:h val="3.7795275590551382E-2"/>
        </c:manualLayout>
      </c:layout>
      <c:overlay val="0"/>
      <c:spPr>
        <a:ln>
          <a:solidFill>
            <a:sysClr val="windowText" lastClr="000000"/>
          </a:solidFill>
        </a:ln>
      </c:spPr>
      <c:txPr>
        <a:bodyPr/>
        <a:lstStyle/>
        <a:p>
          <a:pPr>
            <a:defRPr sz="800" b="0" i="0" u="none" strike="noStrike" baseline="0">
              <a:solidFill>
                <a:srgbClr val="000000"/>
              </a:solidFill>
              <a:latin typeface="Trebuchet MS"/>
              <a:ea typeface="Trebuchet MS"/>
              <a:cs typeface="Trebuchet MS"/>
            </a:defRPr>
          </a:pPr>
          <a:endParaRPr lang="en-US"/>
        </a:p>
      </c:txPr>
    </c:legend>
    <c:plotVisOnly val="0"/>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993366"/>
                </a:solidFill>
                <a:latin typeface="Trebuchet MS"/>
                <a:ea typeface="Trebuchet MS"/>
                <a:cs typeface="Trebuchet MS"/>
              </a:defRPr>
            </a:pPr>
            <a:r>
              <a:rPr lang="en-US"/>
              <a:t>Arlingclose Client Benchmarking</a:t>
            </a:r>
          </a:p>
        </c:rich>
      </c:tx>
      <c:layout/>
      <c:overlay val="0"/>
    </c:title>
    <c:autoTitleDeleted val="0"/>
    <c:plotArea>
      <c:layout>
        <c:manualLayout>
          <c:layoutTarget val="inner"/>
          <c:xMode val="edge"/>
          <c:yMode val="edge"/>
          <c:x val="8.6064443740059268E-2"/>
          <c:y val="8.6112092785488065E-2"/>
          <c:w val="0.90158250218722202"/>
          <c:h val="0.72490953521091994"/>
        </c:manualLayout>
      </c:layout>
      <c:scatterChart>
        <c:scatterStyle val="lineMarker"/>
        <c:varyColors val="0"/>
        <c:ser>
          <c:idx val="0"/>
          <c:order val="0"/>
          <c:tx>
            <c:v>Benchmarking</c:v>
          </c:tx>
          <c:spPr>
            <a:ln w="28575">
              <a:noFill/>
            </a:ln>
          </c:spPr>
          <c:marker>
            <c:symbol val="diamond"/>
            <c:size val="5"/>
            <c:spPr>
              <a:solidFill>
                <a:schemeClr val="accent1"/>
              </a:solidFill>
              <a:ln>
                <a:noFill/>
              </a:ln>
            </c:spPr>
          </c:marker>
          <c:trendline>
            <c:trendlineType val="linear"/>
            <c:dispRSqr val="0"/>
            <c:dispEq val="0"/>
          </c:trendline>
          <c:xVal>
            <c:numRef>
              <c:f>Benchmarking!$P$14:$P$141</c:f>
              <c:numCache>
                <c:formatCode>0.00</c:formatCode>
                <c:ptCount val="128"/>
                <c:pt idx="0">
                  <c:v>1.814634817163181</c:v>
                </c:pt>
                <c:pt idx="1">
                  <c:v>4.8</c:v>
                </c:pt>
                <c:pt idx="4">
                  <c:v>2.9</c:v>
                </c:pt>
                <c:pt idx="5">
                  <c:v>3.4738254128749575</c:v>
                </c:pt>
                <c:pt idx="6">
                  <c:v>2.7173202614379282</c:v>
                </c:pt>
                <c:pt idx="7">
                  <c:v>2.9104511430305409</c:v>
                </c:pt>
                <c:pt idx="8">
                  <c:v>3.7931591119333952</c:v>
                </c:pt>
                <c:pt idx="9">
                  <c:v>2.6006449425503892</c:v>
                </c:pt>
                <c:pt idx="10">
                  <c:v>2.6157724957555177</c:v>
                </c:pt>
                <c:pt idx="11">
                  <c:v>3.8784059045148371</c:v>
                </c:pt>
                <c:pt idx="12">
                  <c:v>2.6680197268588772</c:v>
                </c:pt>
                <c:pt idx="13">
                  <c:v>5.3400641025641198</c:v>
                </c:pt>
                <c:pt idx="14">
                  <c:v>6.094406077348042</c:v>
                </c:pt>
                <c:pt idx="15">
                  <c:v>2.4519712812960242</c:v>
                </c:pt>
                <c:pt idx="16">
                  <c:v>5.8533962264150743</c:v>
                </c:pt>
                <c:pt idx="17">
                  <c:v>5.9354838709677376</c:v>
                </c:pt>
                <c:pt idx="18">
                  <c:v>6.5437136294027578</c:v>
                </c:pt>
                <c:pt idx="19">
                  <c:v>5.9410801963993514</c:v>
                </c:pt>
                <c:pt idx="20">
                  <c:v>3.8273544076072996</c:v>
                </c:pt>
                <c:pt idx="22">
                  <c:v>6.1523028673834919</c:v>
                </c:pt>
                <c:pt idx="23">
                  <c:v>4.8928571428571415</c:v>
                </c:pt>
                <c:pt idx="25">
                  <c:v>6</c:v>
                </c:pt>
                <c:pt idx="26">
                  <c:v>4.13</c:v>
                </c:pt>
                <c:pt idx="27">
                  <c:v>6</c:v>
                </c:pt>
                <c:pt idx="28">
                  <c:v>5.1099999999999985</c:v>
                </c:pt>
                <c:pt idx="29">
                  <c:v>3.9499999999999997</c:v>
                </c:pt>
                <c:pt idx="30">
                  <c:v>4.33</c:v>
                </c:pt>
                <c:pt idx="31">
                  <c:v>5.53</c:v>
                </c:pt>
                <c:pt idx="32">
                  <c:v>4.71</c:v>
                </c:pt>
                <c:pt idx="33">
                  <c:v>7.2349999999999985</c:v>
                </c:pt>
                <c:pt idx="34">
                  <c:v>4.7236842105262999</c:v>
                </c:pt>
                <c:pt idx="35">
                  <c:v>4.4255847953216394</c:v>
                </c:pt>
                <c:pt idx="36">
                  <c:v>5.7232876712328764</c:v>
                </c:pt>
                <c:pt idx="37">
                  <c:v>7.6453096179183095</c:v>
                </c:pt>
                <c:pt idx="38">
                  <c:v>5.4350000000000014</c:v>
                </c:pt>
                <c:pt idx="39">
                  <c:v>5.9649549549549352</c:v>
                </c:pt>
                <c:pt idx="40">
                  <c:v>6.2395193171608314</c:v>
                </c:pt>
                <c:pt idx="41">
                  <c:v>5.9841148325358651</c:v>
                </c:pt>
                <c:pt idx="42">
                  <c:v>5.9717270194986325</c:v>
                </c:pt>
                <c:pt idx="43">
                  <c:v>3.4215693173821253</c:v>
                </c:pt>
                <c:pt idx="44">
                  <c:v>5.9103771428571434</c:v>
                </c:pt>
                <c:pt idx="45">
                  <c:v>5.9910194730813444</c:v>
                </c:pt>
                <c:pt idx="46">
                  <c:v>5.5579967514888864</c:v>
                </c:pt>
                <c:pt idx="48">
                  <c:v>5.0041449882422055</c:v>
                </c:pt>
                <c:pt idx="49">
                  <c:v>5.9953968253968304</c:v>
                </c:pt>
                <c:pt idx="50">
                  <c:v>3.894074338813438</c:v>
                </c:pt>
                <c:pt idx="51">
                  <c:v>4.7079999999999975</c:v>
                </c:pt>
                <c:pt idx="52">
                  <c:v>8.0697606382978737</c:v>
                </c:pt>
                <c:pt idx="53">
                  <c:v>5.7369202087994005</c:v>
                </c:pt>
                <c:pt idx="54">
                  <c:v>7.8810546623794044</c:v>
                </c:pt>
                <c:pt idx="55">
                  <c:v>2.2083333333333401</c:v>
                </c:pt>
                <c:pt idx="56">
                  <c:v>4.8211313330053907</c:v>
                </c:pt>
                <c:pt idx="57">
                  <c:v>2.0801990867580011</c:v>
                </c:pt>
                <c:pt idx="59">
                  <c:v>6.666666666666667</c:v>
                </c:pt>
                <c:pt idx="60">
                  <c:v>5.23637610186094</c:v>
                </c:pt>
                <c:pt idx="61">
                  <c:v>5.0586459378134396</c:v>
                </c:pt>
                <c:pt idx="62">
                  <c:v>5.0475127301214249</c:v>
                </c:pt>
                <c:pt idx="63">
                  <c:v>5.8840579710144754</c:v>
                </c:pt>
                <c:pt idx="64">
                  <c:v>5.9980049261083748</c:v>
                </c:pt>
                <c:pt idx="65">
                  <c:v>6.2386216216216512</c:v>
                </c:pt>
                <c:pt idx="66">
                  <c:v>5.5949777282850599</c:v>
                </c:pt>
                <c:pt idx="67">
                  <c:v>5.6935764944275586</c:v>
                </c:pt>
                <c:pt idx="68">
                  <c:v>5.89</c:v>
                </c:pt>
                <c:pt idx="69">
                  <c:v>6.0058724832214834</c:v>
                </c:pt>
                <c:pt idx="70">
                  <c:v>2.7400539612460202</c:v>
                </c:pt>
                <c:pt idx="71">
                  <c:v>5.4164011799410021</c:v>
                </c:pt>
                <c:pt idx="72">
                  <c:v>4.0208667297780565</c:v>
                </c:pt>
                <c:pt idx="73">
                  <c:v>5.7267968750000007</c:v>
                </c:pt>
                <c:pt idx="74">
                  <c:v>5</c:v>
                </c:pt>
                <c:pt idx="75">
                  <c:v>5.8376143790849655</c:v>
                </c:pt>
                <c:pt idx="76">
                  <c:v>4.0263153786104349</c:v>
                </c:pt>
                <c:pt idx="77">
                  <c:v>7</c:v>
                </c:pt>
                <c:pt idx="78">
                  <c:v>4.1204819277108253</c:v>
                </c:pt>
                <c:pt idx="79">
                  <c:v>4.9981859410430785</c:v>
                </c:pt>
                <c:pt idx="80">
                  <c:v>5.6114986787466945</c:v>
                </c:pt>
                <c:pt idx="81">
                  <c:v>1.7692164009111619</c:v>
                </c:pt>
                <c:pt idx="82">
                  <c:v>2.1149425287356332</c:v>
                </c:pt>
                <c:pt idx="83">
                  <c:v>5.9863945578231323</c:v>
                </c:pt>
                <c:pt idx="84">
                  <c:v>5.6475333333333335</c:v>
                </c:pt>
                <c:pt idx="85">
                  <c:v>3.4946984924623115</c:v>
                </c:pt>
                <c:pt idx="86">
                  <c:v>4.7214906971531114</c:v>
                </c:pt>
                <c:pt idx="87">
                  <c:v>5.99</c:v>
                </c:pt>
                <c:pt idx="88">
                  <c:v>3.4</c:v>
                </c:pt>
                <c:pt idx="89">
                  <c:v>6</c:v>
                </c:pt>
                <c:pt idx="90">
                  <c:v>4.4820069915689906</c:v>
                </c:pt>
                <c:pt idx="91">
                  <c:v>3.1525425313142534</c:v>
                </c:pt>
                <c:pt idx="92">
                  <c:v>2.5899641577061012</c:v>
                </c:pt>
                <c:pt idx="93">
                  <c:v>5.1025521885521892</c:v>
                </c:pt>
                <c:pt idx="94">
                  <c:v>5.9787234042553514</c:v>
                </c:pt>
                <c:pt idx="95">
                  <c:v>3.3699999999999997</c:v>
                </c:pt>
                <c:pt idx="96">
                  <c:v>2.6</c:v>
                </c:pt>
                <c:pt idx="97">
                  <c:v>6.5722857142857141</c:v>
                </c:pt>
                <c:pt idx="98">
                  <c:v>5.9993217313699416</c:v>
                </c:pt>
                <c:pt idx="99">
                  <c:v>7.6815168539325756</c:v>
                </c:pt>
                <c:pt idx="100">
                  <c:v>3.5896259740259739</c:v>
                </c:pt>
                <c:pt idx="101">
                  <c:v>8.3214890016920524</c:v>
                </c:pt>
                <c:pt idx="102">
                  <c:v>6</c:v>
                </c:pt>
                <c:pt idx="103">
                  <c:v>5.0233333333333334</c:v>
                </c:pt>
                <c:pt idx="104">
                  <c:v>5.92</c:v>
                </c:pt>
                <c:pt idx="105">
                  <c:v>3.19</c:v>
                </c:pt>
                <c:pt idx="106">
                  <c:v>5.94</c:v>
                </c:pt>
                <c:pt idx="107">
                  <c:v>7.4</c:v>
                </c:pt>
                <c:pt idx="109">
                  <c:v>3.63</c:v>
                </c:pt>
                <c:pt idx="110">
                  <c:v>5.9569377990430734</c:v>
                </c:pt>
                <c:pt idx="111">
                  <c:v>6.0497350993377479</c:v>
                </c:pt>
                <c:pt idx="112">
                  <c:v>5</c:v>
                </c:pt>
                <c:pt idx="113">
                  <c:v>6.030303030303048</c:v>
                </c:pt>
                <c:pt idx="114">
                  <c:v>6</c:v>
                </c:pt>
                <c:pt idx="115">
                  <c:v>6.7037953795379455</c:v>
                </c:pt>
                <c:pt idx="116">
                  <c:v>5.2195833333333423</c:v>
                </c:pt>
                <c:pt idx="117">
                  <c:v>2.5628440366972467</c:v>
                </c:pt>
                <c:pt idx="118">
                  <c:v>5.84870848708489</c:v>
                </c:pt>
                <c:pt idx="119">
                  <c:v>6.2538648443432043</c:v>
                </c:pt>
                <c:pt idx="120">
                  <c:v>6.18</c:v>
                </c:pt>
                <c:pt idx="121">
                  <c:v>3.57</c:v>
                </c:pt>
                <c:pt idx="122">
                  <c:v>5.8</c:v>
                </c:pt>
                <c:pt idx="123">
                  <c:v>5.6834625322997416</c:v>
                </c:pt>
                <c:pt idx="125">
                  <c:v>2.6</c:v>
                </c:pt>
                <c:pt idx="126">
                  <c:v>2.2757127192982427</c:v>
                </c:pt>
                <c:pt idx="127">
                  <c:v>5.3253963221306284</c:v>
                </c:pt>
              </c:numCache>
            </c:numRef>
          </c:xVal>
          <c:yVal>
            <c:numRef>
              <c:f>Benchmarking!$J$14:$J$141</c:f>
              <c:numCache>
                <c:formatCode>0.00%</c:formatCode>
                <c:ptCount val="128"/>
                <c:pt idx="0">
                  <c:v>2.6939570347016512E-2</c:v>
                </c:pt>
                <c:pt idx="1">
                  <c:v>6.6000000000000034E-3</c:v>
                </c:pt>
                <c:pt idx="4">
                  <c:v>9.6000000000000026E-3</c:v>
                </c:pt>
                <c:pt idx="5">
                  <c:v>5.8428282348810924E-3</c:v>
                </c:pt>
                <c:pt idx="6">
                  <c:v>5.1015179846742933E-3</c:v>
                </c:pt>
                <c:pt idx="7">
                  <c:v>8.8199922195048852E-3</c:v>
                </c:pt>
                <c:pt idx="8">
                  <c:v>7.3367571722341542E-3</c:v>
                </c:pt>
                <c:pt idx="9">
                  <c:v>1.9492007430710816E-2</c:v>
                </c:pt>
                <c:pt idx="10">
                  <c:v>4.2975797203500714E-3</c:v>
                </c:pt>
                <c:pt idx="11">
                  <c:v>6.9598027754892173E-3</c:v>
                </c:pt>
                <c:pt idx="12">
                  <c:v>4.0679900120872805E-3</c:v>
                </c:pt>
                <c:pt idx="13">
                  <c:v>4.6684283186521564E-3</c:v>
                </c:pt>
                <c:pt idx="14">
                  <c:v>6.1296875000000023E-3</c:v>
                </c:pt>
                <c:pt idx="15">
                  <c:v>2.0007836868939831E-2</c:v>
                </c:pt>
                <c:pt idx="16">
                  <c:v>5.9322033898305511E-3</c:v>
                </c:pt>
                <c:pt idx="17">
                  <c:v>4.7500000000000034E-3</c:v>
                </c:pt>
                <c:pt idx="18">
                  <c:v>6.3544715447154468E-3</c:v>
                </c:pt>
                <c:pt idx="19">
                  <c:v>5.4270270270270274E-3</c:v>
                </c:pt>
                <c:pt idx="20">
                  <c:v>1.0497293640054126E-2</c:v>
                </c:pt>
                <c:pt idx="22">
                  <c:v>1.4489718964445416E-2</c:v>
                </c:pt>
                <c:pt idx="23">
                  <c:v>4.8980539974392183E-3</c:v>
                </c:pt>
                <c:pt idx="25">
                  <c:v>1.0000000000000005E-2</c:v>
                </c:pt>
                <c:pt idx="26">
                  <c:v>4.8000000000000004E-3</c:v>
                </c:pt>
                <c:pt idx="27">
                  <c:v>5.6455042821463072E-3</c:v>
                </c:pt>
                <c:pt idx="28">
                  <c:v>6.800000000000017E-3</c:v>
                </c:pt>
                <c:pt idx="29">
                  <c:v>6.9000000000000198E-3</c:v>
                </c:pt>
                <c:pt idx="30">
                  <c:v>4.7000000000000123E-3</c:v>
                </c:pt>
                <c:pt idx="31">
                  <c:v>5.9000000000000198E-3</c:v>
                </c:pt>
                <c:pt idx="32">
                  <c:v>4.5000000000000014E-3</c:v>
                </c:pt>
                <c:pt idx="33">
                  <c:v>7.5959716758010514E-3</c:v>
                </c:pt>
                <c:pt idx="34">
                  <c:v>4.2621012963220328E-3</c:v>
                </c:pt>
                <c:pt idx="35">
                  <c:v>6.4594187298170312E-3</c:v>
                </c:pt>
                <c:pt idx="36">
                  <c:v>6.5613223140496167E-3</c:v>
                </c:pt>
                <c:pt idx="37">
                  <c:v>5.4875675005817423E-3</c:v>
                </c:pt>
                <c:pt idx="38">
                  <c:v>5.8627160493827145E-3</c:v>
                </c:pt>
                <c:pt idx="39">
                  <c:v>5.7252165053489554E-3</c:v>
                </c:pt>
                <c:pt idx="40">
                  <c:v>6.8908752136752141E-3</c:v>
                </c:pt>
                <c:pt idx="41">
                  <c:v>6.3435897435897524E-3</c:v>
                </c:pt>
                <c:pt idx="42">
                  <c:v>4.7545681322107933E-3</c:v>
                </c:pt>
                <c:pt idx="43">
                  <c:v>6.3263931754089673E-3</c:v>
                </c:pt>
                <c:pt idx="44">
                  <c:v>6.2553361359706334E-3</c:v>
                </c:pt>
                <c:pt idx="45">
                  <c:v>8.3038239916186727E-3</c:v>
                </c:pt>
                <c:pt idx="46">
                  <c:v>6.5884751773049813E-3</c:v>
                </c:pt>
                <c:pt idx="48">
                  <c:v>7.7744762811473153E-3</c:v>
                </c:pt>
                <c:pt idx="49">
                  <c:v>5.9554890219560884E-3</c:v>
                </c:pt>
                <c:pt idx="50">
                  <c:v>6.9029999955580509E-3</c:v>
                </c:pt>
                <c:pt idx="51">
                  <c:v>4.0697971876690357E-3</c:v>
                </c:pt>
                <c:pt idx="52">
                  <c:v>5.7378690616254387E-3</c:v>
                </c:pt>
                <c:pt idx="53">
                  <c:v>5.9400921658986604E-3</c:v>
                </c:pt>
                <c:pt idx="54">
                  <c:v>8.7021914677501179E-3</c:v>
                </c:pt>
                <c:pt idx="55">
                  <c:v>2.5891996142719496E-3</c:v>
                </c:pt>
                <c:pt idx="56">
                  <c:v>6.9760945502017517E-3</c:v>
                </c:pt>
                <c:pt idx="57">
                  <c:v>1.2943550446998783E-2</c:v>
                </c:pt>
                <c:pt idx="59">
                  <c:v>4.0000000000000114E-3</c:v>
                </c:pt>
                <c:pt idx="60">
                  <c:v>5.2604398551696404E-3</c:v>
                </c:pt>
                <c:pt idx="61">
                  <c:v>7.2900622942221396E-3</c:v>
                </c:pt>
                <c:pt idx="62">
                  <c:v>6.1834799945321289E-3</c:v>
                </c:pt>
                <c:pt idx="63">
                  <c:v>4.4062500000000273E-3</c:v>
                </c:pt>
                <c:pt idx="64">
                  <c:v>4.0664139857651471E-3</c:v>
                </c:pt>
                <c:pt idx="65">
                  <c:v>5.9186462808735133E-3</c:v>
                </c:pt>
                <c:pt idx="66">
                  <c:v>5.3667044981324024E-3</c:v>
                </c:pt>
                <c:pt idx="67">
                  <c:v>4.5558379741713721E-3</c:v>
                </c:pt>
                <c:pt idx="68">
                  <c:v>4.3000000000000104E-3</c:v>
                </c:pt>
                <c:pt idx="69">
                  <c:v>7.9597085297899734E-3</c:v>
                </c:pt>
                <c:pt idx="70">
                  <c:v>4.3980615374540214E-3</c:v>
                </c:pt>
                <c:pt idx="71">
                  <c:v>6.7682620556698617E-3</c:v>
                </c:pt>
                <c:pt idx="72">
                  <c:v>6.1892221125370546E-3</c:v>
                </c:pt>
                <c:pt idx="73">
                  <c:v>7.1634365994236414E-3</c:v>
                </c:pt>
                <c:pt idx="74">
                  <c:v>5.7777777777777784E-3</c:v>
                </c:pt>
                <c:pt idx="75">
                  <c:v>5.6139054581531419E-3</c:v>
                </c:pt>
                <c:pt idx="76">
                  <c:v>6.7020463764402034E-3</c:v>
                </c:pt>
                <c:pt idx="77">
                  <c:v>7.0000000000000114E-3</c:v>
                </c:pt>
                <c:pt idx="78">
                  <c:v>9.2821040258595361E-3</c:v>
                </c:pt>
                <c:pt idx="79">
                  <c:v>6.1813392902086836E-3</c:v>
                </c:pt>
                <c:pt idx="80">
                  <c:v>5.5933673860370948E-3</c:v>
                </c:pt>
                <c:pt idx="81">
                  <c:v>8.4272521130497515E-3</c:v>
                </c:pt>
                <c:pt idx="82">
                  <c:v>3.7038835320819404E-3</c:v>
                </c:pt>
                <c:pt idx="83">
                  <c:v>2.9104847297354859E-2</c:v>
                </c:pt>
                <c:pt idx="84">
                  <c:v>5.0183908045977011E-3</c:v>
                </c:pt>
                <c:pt idx="85">
                  <c:v>5.6336698487792682E-3</c:v>
                </c:pt>
                <c:pt idx="86">
                  <c:v>6.0208542758936794E-3</c:v>
                </c:pt>
                <c:pt idx="87">
                  <c:v>6.0000000000000114E-3</c:v>
                </c:pt>
                <c:pt idx="88">
                  <c:v>5.1999999999999998E-3</c:v>
                </c:pt>
                <c:pt idx="89">
                  <c:v>2.5000000000000079E-3</c:v>
                </c:pt>
                <c:pt idx="90">
                  <c:v>7.6740770146883899E-3</c:v>
                </c:pt>
                <c:pt idx="91">
                  <c:v>4.7489773406374485E-3</c:v>
                </c:pt>
                <c:pt idx="92">
                  <c:v>2.8393665158371042E-3</c:v>
                </c:pt>
                <c:pt idx="93">
                  <c:v>5.9365023542788499E-3</c:v>
                </c:pt>
                <c:pt idx="94">
                  <c:v>7.0957703265395571E-3</c:v>
                </c:pt>
                <c:pt idx="95">
                  <c:v>4.6000000000000034E-3</c:v>
                </c:pt>
                <c:pt idx="96">
                  <c:v>7.6999999999999999E-2</c:v>
                </c:pt>
                <c:pt idx="97">
                  <c:v>4.464883206592541E-3</c:v>
                </c:pt>
                <c:pt idx="98">
                  <c:v>5.5575907821229223E-3</c:v>
                </c:pt>
                <c:pt idx="99">
                  <c:v>6.3943655913978534E-3</c:v>
                </c:pt>
                <c:pt idx="100">
                  <c:v>5.6323440078666093E-3</c:v>
                </c:pt>
                <c:pt idx="101">
                  <c:v>8.9506172839506626E-3</c:v>
                </c:pt>
                <c:pt idx="102">
                  <c:v>5.9810867727437787E-3</c:v>
                </c:pt>
                <c:pt idx="103">
                  <c:v>4.8400000000000014E-3</c:v>
                </c:pt>
                <c:pt idx="104">
                  <c:v>5.5000000000000014E-3</c:v>
                </c:pt>
                <c:pt idx="105">
                  <c:v>3.3000000000000052E-3</c:v>
                </c:pt>
                <c:pt idx="106">
                  <c:v>5.3000000000000104E-3</c:v>
                </c:pt>
                <c:pt idx="107">
                  <c:v>5.1999999999999998E-3</c:v>
                </c:pt>
                <c:pt idx="109">
                  <c:v>7.2000000000000189E-3</c:v>
                </c:pt>
                <c:pt idx="110">
                  <c:v>5.7689282522373452E-3</c:v>
                </c:pt>
                <c:pt idx="111">
                  <c:v>1.0396267012575688E-2</c:v>
                </c:pt>
                <c:pt idx="112">
                  <c:v>6.5930045851207639E-3</c:v>
                </c:pt>
                <c:pt idx="113">
                  <c:v>4.7515511278328343E-3</c:v>
                </c:pt>
                <c:pt idx="114">
                  <c:v>8.0000000000000227E-3</c:v>
                </c:pt>
                <c:pt idx="115">
                  <c:v>2.2099416157909852E-2</c:v>
                </c:pt>
                <c:pt idx="116">
                  <c:v>4.345993317245612E-3</c:v>
                </c:pt>
                <c:pt idx="117">
                  <c:v>2.9154986036692013E-3</c:v>
                </c:pt>
                <c:pt idx="118">
                  <c:v>5.8523809523809475E-3</c:v>
                </c:pt>
                <c:pt idx="119">
                  <c:v>9.9935838680110523E-3</c:v>
                </c:pt>
                <c:pt idx="120">
                  <c:v>6.6000000000000034E-3</c:v>
                </c:pt>
                <c:pt idx="121">
                  <c:v>5.1000000000000004E-3</c:v>
                </c:pt>
                <c:pt idx="122">
                  <c:v>6.0000000000000114E-3</c:v>
                </c:pt>
                <c:pt idx="123">
                  <c:v>4.4985215999834034E-3</c:v>
                </c:pt>
                <c:pt idx="125">
                  <c:v>3.8903508771929987E-3</c:v>
                </c:pt>
                <c:pt idx="126">
                  <c:v>2.9761904761904812E-3</c:v>
                </c:pt>
                <c:pt idx="127">
                  <c:v>7.0399274047187278E-3</c:v>
                </c:pt>
              </c:numCache>
            </c:numRef>
          </c:yVal>
          <c:smooth val="0"/>
        </c:ser>
        <c:ser>
          <c:idx val="1"/>
          <c:order val="1"/>
          <c:tx>
            <c:v>Average</c:v>
          </c:tx>
          <c:spPr>
            <a:ln w="28575">
              <a:noFill/>
            </a:ln>
          </c:spPr>
          <c:marker>
            <c:symbol val="none"/>
          </c:marker>
          <c:errBars>
            <c:errDir val="x"/>
            <c:errBarType val="both"/>
            <c:errValType val="fixedVal"/>
            <c:noEndCap val="0"/>
            <c:val val="1200"/>
            <c:spPr>
              <a:ln w="3175">
                <a:solidFill>
                  <a:srgbClr val="000000"/>
                </a:solidFill>
                <a:prstDash val="solid"/>
              </a:ln>
            </c:spPr>
          </c:errBars>
          <c:errBars>
            <c:errDir val="y"/>
            <c:errBarType val="both"/>
            <c:errValType val="fixedVal"/>
            <c:noEndCap val="0"/>
            <c:val val="1"/>
            <c:spPr>
              <a:ln w="3175">
                <a:solidFill>
                  <a:srgbClr val="000000"/>
                </a:solidFill>
                <a:prstDash val="solid"/>
              </a:ln>
            </c:spPr>
          </c:errBars>
          <c:xVal>
            <c:numRef>
              <c:f>Benchmarking!$P$142</c:f>
              <c:numCache>
                <c:formatCode>0.00</c:formatCode>
                <c:ptCount val="1"/>
                <c:pt idx="0">
                  <c:v>4.9844461110459308</c:v>
                </c:pt>
              </c:numCache>
            </c:numRef>
          </c:xVal>
          <c:yVal>
            <c:numRef>
              <c:f>Benchmarking!$J$142</c:f>
              <c:numCache>
                <c:formatCode>0.00%</c:formatCode>
                <c:ptCount val="1"/>
                <c:pt idx="0">
                  <c:v>7.4090880516671578E-3</c:v>
                </c:pt>
              </c:numCache>
            </c:numRef>
          </c:yVal>
          <c:smooth val="0"/>
        </c:ser>
        <c:ser>
          <c:idx val="2"/>
          <c:order val="2"/>
          <c:tx>
            <c:v>SD +</c:v>
          </c:tx>
          <c:spPr>
            <a:ln w="28575">
              <a:noFill/>
            </a:ln>
          </c:spPr>
          <c:marker>
            <c:symbol val="none"/>
          </c:marker>
          <c:errBars>
            <c:errDir val="x"/>
            <c:errBarType val="both"/>
            <c:errValType val="fixedVal"/>
            <c:noEndCap val="0"/>
            <c:val val="10"/>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Benchmarking!$P$144</c:f>
              <c:numCache>
                <c:formatCode>0.00</c:formatCode>
                <c:ptCount val="1"/>
                <c:pt idx="0">
                  <c:v>6.4734977222124126</c:v>
                </c:pt>
              </c:numCache>
            </c:numRef>
          </c:xVal>
          <c:yVal>
            <c:numRef>
              <c:f>Benchmarking!$J$144</c:f>
              <c:numCache>
                <c:formatCode>0.00%</c:formatCode>
                <c:ptCount val="1"/>
                <c:pt idx="0">
                  <c:v>1.4985624987789837E-2</c:v>
                </c:pt>
              </c:numCache>
            </c:numRef>
          </c:yVal>
          <c:smooth val="0"/>
        </c:ser>
        <c:ser>
          <c:idx val="3"/>
          <c:order val="3"/>
          <c:tx>
            <c:v>SD  -</c:v>
          </c:tx>
          <c:spPr>
            <a:ln w="28575">
              <a:noFill/>
            </a:ln>
          </c:spPr>
          <c:marker>
            <c:symbol val="none"/>
          </c:marker>
          <c:errBars>
            <c:errDir val="x"/>
            <c:errBarType val="both"/>
            <c:errValType val="fixedVal"/>
            <c:noEndCap val="0"/>
            <c:val val="5"/>
            <c:spPr>
              <a:ln w="3175">
                <a:solidFill>
                  <a:srgbClr val="000000"/>
                </a:solidFill>
                <a:prstDash val="lgDash"/>
              </a:ln>
            </c:spPr>
          </c:errBars>
          <c:errBars>
            <c:errDir val="y"/>
            <c:errBarType val="both"/>
            <c:errValType val="fixedVal"/>
            <c:noEndCap val="0"/>
            <c:val val="1"/>
            <c:spPr>
              <a:ln w="3175">
                <a:solidFill>
                  <a:srgbClr val="000000"/>
                </a:solidFill>
                <a:prstDash val="lgDash"/>
              </a:ln>
            </c:spPr>
          </c:errBars>
          <c:xVal>
            <c:numRef>
              <c:f>Benchmarking!$P$145</c:f>
              <c:numCache>
                <c:formatCode>0.00</c:formatCode>
                <c:ptCount val="1"/>
                <c:pt idx="0">
                  <c:v>3.4953944998794668</c:v>
                </c:pt>
              </c:numCache>
            </c:numRef>
          </c:xVal>
          <c:yVal>
            <c:numRef>
              <c:f>Benchmarking!$J$145</c:f>
              <c:numCache>
                <c:formatCode>0.00%</c:formatCode>
                <c:ptCount val="1"/>
                <c:pt idx="0">
                  <c:v>-1.6744888445558023E-4</c:v>
                </c:pt>
              </c:numCache>
            </c:numRef>
          </c:yVal>
          <c:smooth val="0"/>
        </c:ser>
        <c:ser>
          <c:idx val="7"/>
          <c:order val="4"/>
          <c:tx>
            <c:strRef>
              <c:f>Benchmarking!$B$14</c:f>
              <c:strCache>
                <c:ptCount val="1"/>
                <c:pt idx="0">
                  <c:v>Lancashire CC - 31/03/2014</c:v>
                </c:pt>
              </c:strCache>
            </c:strRef>
          </c:tx>
          <c:spPr>
            <a:ln w="28575">
              <a:noFill/>
            </a:ln>
          </c:spPr>
          <c:marker>
            <c:symbol val="circle"/>
            <c:size val="8"/>
            <c:spPr>
              <a:solidFill>
                <a:srgbClr val="00B0F0"/>
              </a:solidFill>
              <a:ln>
                <a:solidFill>
                  <a:sysClr val="windowText" lastClr="000000"/>
                </a:solidFill>
              </a:ln>
            </c:spPr>
          </c:marker>
          <c:xVal>
            <c:numRef>
              <c:f>Benchmarking!$P$14</c:f>
              <c:numCache>
                <c:formatCode>0.00</c:formatCode>
                <c:ptCount val="1"/>
                <c:pt idx="0">
                  <c:v>1.814634817163181</c:v>
                </c:pt>
              </c:numCache>
            </c:numRef>
          </c:xVal>
          <c:yVal>
            <c:numRef>
              <c:f>Benchmarking!$J$14</c:f>
              <c:numCache>
                <c:formatCode>0.00%</c:formatCode>
                <c:ptCount val="1"/>
                <c:pt idx="0">
                  <c:v>2.6939570347016512E-2</c:v>
                </c:pt>
              </c:numCache>
            </c:numRef>
          </c:yVal>
          <c:smooth val="0"/>
        </c:ser>
        <c:dLbls>
          <c:showLegendKey val="0"/>
          <c:showVal val="0"/>
          <c:showCatName val="0"/>
          <c:showSerName val="0"/>
          <c:showPercent val="0"/>
          <c:showBubbleSize val="0"/>
        </c:dLbls>
        <c:axId val="139030984"/>
        <c:axId val="139031376"/>
      </c:scatterChart>
      <c:valAx>
        <c:axId val="139030984"/>
        <c:scaling>
          <c:orientation val="minMax"/>
          <c:max val="8.5"/>
          <c:min val="1"/>
        </c:scaling>
        <c:delete val="0"/>
        <c:axPos val="b"/>
        <c:title>
          <c:tx>
            <c:rich>
              <a:bodyPr/>
              <a:lstStyle/>
              <a:p>
                <a:pPr>
                  <a:defRPr sz="1000" b="1" i="0" u="none" strike="noStrike" baseline="0">
                    <a:solidFill>
                      <a:srgbClr val="993366"/>
                    </a:solidFill>
                    <a:latin typeface="Trebuchet MS"/>
                    <a:ea typeface="Trebuchet MS"/>
                    <a:cs typeface="Trebuchet MS"/>
                  </a:defRPr>
                </a:pPr>
                <a:r>
                  <a:rPr lang="en-US"/>
                  <a:t>Average Credit Risk Score - Time Weighted Average</a:t>
                </a:r>
              </a:p>
            </c:rich>
          </c:tx>
          <c:layout>
            <c:manualLayout>
              <c:xMode val="edge"/>
              <c:yMode val="edge"/>
              <c:x val="0.3654838683626126"/>
              <c:y val="0.86009349618699593"/>
            </c:manualLayout>
          </c:layout>
          <c:overlay val="0"/>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9031376"/>
        <c:crosses val="autoZero"/>
        <c:crossBetween val="midCat"/>
        <c:majorUnit val="1"/>
      </c:valAx>
      <c:valAx>
        <c:axId val="139031376"/>
        <c:scaling>
          <c:orientation val="minMax"/>
          <c:max val="3.0000000000000016E-2"/>
          <c:min val="0"/>
        </c:scaling>
        <c:delete val="0"/>
        <c:axPos val="l"/>
        <c:title>
          <c:tx>
            <c:rich>
              <a:bodyPr/>
              <a:lstStyle/>
              <a:p>
                <a:pPr>
                  <a:defRPr sz="1000" b="1" i="0" u="none" strike="noStrike" baseline="0">
                    <a:solidFill>
                      <a:srgbClr val="993366"/>
                    </a:solidFill>
                    <a:latin typeface="Trebuchet MS"/>
                    <a:ea typeface="Trebuchet MS"/>
                    <a:cs typeface="Trebuchet MS"/>
                  </a:defRPr>
                </a:pPr>
                <a:r>
                  <a:rPr lang="en-US"/>
                  <a:t>Average Rate of Investments</a:t>
                </a:r>
              </a:p>
            </c:rich>
          </c:tx>
          <c:layout/>
          <c:overlay val="0"/>
        </c:title>
        <c:numFmt formatCode="0.00%" sourceLinked="1"/>
        <c:majorTickMark val="out"/>
        <c:minorTickMark val="none"/>
        <c:tickLblPos val="nextTo"/>
        <c:spPr>
          <a:noFill/>
        </c:spPr>
        <c:txPr>
          <a:bodyPr rot="0" vert="horz"/>
          <a:lstStyle/>
          <a:p>
            <a:pPr>
              <a:defRPr sz="1000" b="0" i="0" u="none" strike="noStrike" baseline="0">
                <a:solidFill>
                  <a:srgbClr val="000000"/>
                </a:solidFill>
                <a:latin typeface="Calibri"/>
                <a:ea typeface="Calibri"/>
                <a:cs typeface="Calibri"/>
              </a:defRPr>
            </a:pPr>
            <a:endParaRPr lang="en-US"/>
          </a:p>
        </c:txPr>
        <c:crossAx val="139030984"/>
        <c:crosses val="autoZero"/>
        <c:crossBetween val="midCat"/>
      </c:valAx>
      <c:spPr>
        <a:solidFill>
          <a:sysClr val="window" lastClr="FFFFFF">
            <a:lumMod val="85000"/>
          </a:sysClr>
        </a:solidFill>
        <a:ln>
          <a:solidFill>
            <a:schemeClr val="tx1"/>
          </a:solidFill>
        </a:ln>
      </c:spPr>
    </c:plotArea>
    <c:legend>
      <c:legendPos val="r"/>
      <c:legendEntry>
        <c:idx val="1"/>
        <c:delete val="1"/>
      </c:legendEntry>
      <c:legendEntry>
        <c:idx val="2"/>
        <c:delete val="1"/>
      </c:legendEntry>
      <c:legendEntry>
        <c:idx val="3"/>
        <c:delete val="1"/>
      </c:legendEntry>
      <c:legendEntry>
        <c:idx val="5"/>
        <c:delete val="1"/>
      </c:legendEntry>
      <c:layout>
        <c:manualLayout>
          <c:xMode val="edge"/>
          <c:yMode val="edge"/>
          <c:x val="1.7314629258517119E-2"/>
          <c:y val="0.92548988780728536"/>
          <c:w val="0.95897435897435901"/>
          <c:h val="4.4094488188976731E-2"/>
        </c:manualLayout>
      </c:layout>
      <c:overlay val="0"/>
      <c:spPr>
        <a:ln>
          <a:solidFill>
            <a:sysClr val="windowText" lastClr="000000"/>
          </a:solidFill>
        </a:ln>
      </c:spPr>
      <c:txPr>
        <a:bodyPr/>
        <a:lstStyle/>
        <a:p>
          <a:pPr>
            <a:defRPr sz="775" b="0" i="0" u="none" strike="noStrike" baseline="0">
              <a:solidFill>
                <a:srgbClr val="000000"/>
              </a:solidFill>
              <a:latin typeface="Trebuchet MS"/>
              <a:ea typeface="Trebuchet MS"/>
              <a:cs typeface="Trebuchet MS"/>
            </a:defRPr>
          </a:pPr>
          <a:endParaRPr lang="en-US"/>
        </a:p>
      </c:txPr>
    </c:legend>
    <c:plotVisOnly val="0"/>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0.19677</cdr:x>
      <cdr:y>0.03051</cdr:y>
    </cdr:from>
    <cdr:to>
      <cdr:x>0.75651</cdr:x>
      <cdr:y>0.12547</cdr:y>
    </cdr:to>
    <cdr:sp macro="" textlink="">
      <cdr:nvSpPr>
        <cdr:cNvPr id="2" name="TextBox 1"/>
        <cdr:cNvSpPr txBox="1"/>
      </cdr:nvSpPr>
      <cdr:spPr>
        <a:xfrm xmlns:a="http://schemas.openxmlformats.org/drawingml/2006/main">
          <a:off x="2195764" y="190246"/>
          <a:ext cx="6246393" cy="5922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b="1">
              <a:latin typeface="Arial" pitchFamily="34" charset="0"/>
              <a:cs typeface="Arial" pitchFamily="34" charset="0"/>
            </a:rPr>
            <a:t>DEBT</a:t>
          </a:r>
          <a:r>
            <a:rPr lang="en-GB" sz="1400" b="1"/>
            <a:t> BY MATURITY (£M)  AS AT 31/03/14</a:t>
          </a:r>
        </a:p>
        <a:p xmlns:a="http://schemas.openxmlformats.org/drawingml/2006/main">
          <a:endParaRPr lang="en-GB" sz="2000"/>
        </a:p>
      </cdr:txBody>
    </cdr:sp>
  </cdr:relSizeAnchor>
  <cdr:relSizeAnchor xmlns:cdr="http://schemas.openxmlformats.org/drawingml/2006/chartDrawing">
    <cdr:from>
      <cdr:x>0.01241</cdr:x>
      <cdr:y>0.03686</cdr:y>
    </cdr:from>
    <cdr:to>
      <cdr:x>0.21204</cdr:x>
      <cdr:y>0.11415</cdr:y>
    </cdr:to>
    <cdr:sp macro="" textlink="">
      <cdr:nvSpPr>
        <cdr:cNvPr id="4" name="TextBox 3"/>
        <cdr:cNvSpPr txBox="1"/>
      </cdr:nvSpPr>
      <cdr:spPr>
        <a:xfrm xmlns:a="http://schemas.openxmlformats.org/drawingml/2006/main">
          <a:off x="138483" y="229866"/>
          <a:ext cx="2227728" cy="4820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600" b="1"/>
            <a:t>                         £m</a:t>
          </a:r>
        </a:p>
      </cdr:txBody>
    </cdr:sp>
  </cdr:relSizeAnchor>
</c:userShapes>
</file>

<file path=word/drawings/drawing2.xml><?xml version="1.0" encoding="utf-8"?>
<c:userShapes xmlns:c="http://schemas.openxmlformats.org/drawingml/2006/chart">
  <cdr:relSizeAnchor xmlns:cdr="http://schemas.openxmlformats.org/drawingml/2006/chartDrawing">
    <cdr:from>
      <cdr:x>0.23046</cdr:x>
      <cdr:y>0.86413</cdr:y>
    </cdr:from>
    <cdr:to>
      <cdr:x>0.83546</cdr:x>
      <cdr:y>0.92907</cdr:y>
    </cdr:to>
    <cdr:sp macro="" textlink="">
      <cdr:nvSpPr>
        <cdr:cNvPr id="2" name="Right Arrow 1"/>
        <cdr:cNvSpPr/>
      </cdr:nvSpPr>
      <cdr:spPr>
        <a:xfrm xmlns:a="http://schemas.openxmlformats.org/drawingml/2006/main">
          <a:off x="2177570" y="4757425"/>
          <a:ext cx="5716524" cy="357500"/>
        </a:xfrm>
        <a:prstGeom xmlns:a="http://schemas.openxmlformats.org/drawingml/2006/main" prst="rightArrow">
          <a:avLst/>
        </a:prstGeom>
        <a:noFill xmlns:a="http://schemas.openxmlformats.org/drawingml/2006/main"/>
        <a:ln xmlns:a="http://schemas.openxmlformats.org/drawingml/2006/main" w="25400" cap="flat" cmpd="sng" algn="ctr">
          <a:solidFill>
            <a:schemeClr val="accent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0.83718</cdr:x>
      <cdr:y>0.86578</cdr:y>
    </cdr:from>
    <cdr:to>
      <cdr:x>0.93961</cdr:x>
      <cdr:y>0.92346</cdr:y>
    </cdr:to>
    <cdr:sp macro="" textlink="">
      <cdr:nvSpPr>
        <cdr:cNvPr id="5" name="TextBox 1"/>
        <cdr:cNvSpPr txBox="1"/>
      </cdr:nvSpPr>
      <cdr:spPr>
        <a:xfrm xmlns:a="http://schemas.openxmlformats.org/drawingml/2006/main">
          <a:off x="7770109" y="5251692"/>
          <a:ext cx="960542" cy="34131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solidFill>
                <a:schemeClr val="accent2"/>
              </a:solidFill>
              <a:latin typeface="+mn-lt"/>
            </a:rPr>
            <a:t>Higher Risk</a:t>
          </a:r>
        </a:p>
      </cdr:txBody>
    </cdr:sp>
  </cdr:relSizeAnchor>
  <cdr:relSizeAnchor xmlns:cdr="http://schemas.openxmlformats.org/drawingml/2006/chartDrawing">
    <cdr:from>
      <cdr:x>0.13604</cdr:x>
      <cdr:y>0.86317</cdr:y>
    </cdr:from>
    <cdr:to>
      <cdr:x>0.22621</cdr:x>
      <cdr:y>0.91701</cdr:y>
    </cdr:to>
    <cdr:sp macro="" textlink="">
      <cdr:nvSpPr>
        <cdr:cNvPr id="6" name="TextBox 1"/>
        <cdr:cNvSpPr txBox="1"/>
      </cdr:nvSpPr>
      <cdr:spPr>
        <a:xfrm xmlns:a="http://schemas.openxmlformats.org/drawingml/2006/main">
          <a:off x="1131044" y="5234365"/>
          <a:ext cx="876866" cy="32110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solidFill>
                <a:schemeClr val="accent2"/>
              </a:solidFill>
              <a:latin typeface="+mn-lt"/>
            </a:rPr>
            <a:t>Lower Risk</a:t>
          </a:r>
        </a:p>
      </cdr:txBody>
    </cdr:sp>
  </cdr:relSizeAnchor>
</c:userShapes>
</file>

<file path=word/drawings/drawing3.xml><?xml version="1.0" encoding="utf-8"?>
<c:userShapes xmlns:c="http://schemas.openxmlformats.org/drawingml/2006/chart">
  <cdr:relSizeAnchor xmlns:cdr="http://schemas.openxmlformats.org/drawingml/2006/chartDrawing">
    <cdr:from>
      <cdr:x>0.22453</cdr:x>
      <cdr:y>0.84863</cdr:y>
    </cdr:from>
    <cdr:to>
      <cdr:x>0.82421</cdr:x>
      <cdr:y>0.9032</cdr:y>
    </cdr:to>
    <cdr:sp macro="" textlink="">
      <cdr:nvSpPr>
        <cdr:cNvPr id="2" name="Right Arrow 1"/>
        <cdr:cNvSpPr/>
      </cdr:nvSpPr>
      <cdr:spPr>
        <a:xfrm xmlns:a="http://schemas.openxmlformats.org/drawingml/2006/main">
          <a:off x="1909332" y="5134340"/>
          <a:ext cx="5241215" cy="330060"/>
        </a:xfrm>
        <a:prstGeom xmlns:a="http://schemas.openxmlformats.org/drawingml/2006/main" prst="rightArrow">
          <a:avLst/>
        </a:prstGeom>
        <a:noFill xmlns:a="http://schemas.openxmlformats.org/drawingml/2006/main"/>
        <a:ln xmlns:a="http://schemas.openxmlformats.org/drawingml/2006/main" w="25400" cap="flat" cmpd="sng" algn="ctr">
          <a:solidFill>
            <a:schemeClr val="accent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0.114</cdr:x>
      <cdr:y>0.8404</cdr:y>
    </cdr:from>
    <cdr:to>
      <cdr:x>0.22322</cdr:x>
      <cdr:y>0.89572</cdr:y>
    </cdr:to>
    <cdr:sp macro="" textlink="">
      <cdr:nvSpPr>
        <cdr:cNvPr id="3" name="TextBox 1"/>
        <cdr:cNvSpPr txBox="1"/>
      </cdr:nvSpPr>
      <cdr:spPr>
        <a:xfrm xmlns:a="http://schemas.openxmlformats.org/drawingml/2006/main">
          <a:off x="981075" y="5146569"/>
          <a:ext cx="1008638" cy="32250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solidFill>
                <a:schemeClr val="accent2"/>
              </a:solidFill>
              <a:latin typeface="+mn-lt"/>
            </a:rPr>
            <a:t>Lower Risk</a:t>
          </a:r>
        </a:p>
      </cdr:txBody>
    </cdr:sp>
  </cdr:relSizeAnchor>
  <cdr:relSizeAnchor xmlns:cdr="http://schemas.openxmlformats.org/drawingml/2006/chartDrawing">
    <cdr:from>
      <cdr:x>0.82792</cdr:x>
      <cdr:y>0.84247</cdr:y>
    </cdr:from>
    <cdr:to>
      <cdr:x>0.93037</cdr:x>
      <cdr:y>0.90061</cdr:y>
    </cdr:to>
    <cdr:sp macro="" textlink="">
      <cdr:nvSpPr>
        <cdr:cNvPr id="4" name="TextBox 1"/>
        <cdr:cNvSpPr txBox="1"/>
      </cdr:nvSpPr>
      <cdr:spPr>
        <a:xfrm xmlns:a="http://schemas.openxmlformats.org/drawingml/2006/main">
          <a:off x="7698060" y="5159157"/>
          <a:ext cx="951440" cy="34116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solidFill>
                <a:schemeClr val="accent2"/>
              </a:solidFill>
              <a:latin typeface="+mn-lt"/>
            </a:rPr>
            <a:t>Higher Risk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27F1-16FE-4EB8-8FAC-EEFBC992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18</Pages>
  <Words>3643</Words>
  <Characters>20767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Rawcliffe, Cath</cp:lastModifiedBy>
  <cp:revision>2</cp:revision>
  <cp:lastPrinted>2014-05-23T07:26:00Z</cp:lastPrinted>
  <dcterms:created xsi:type="dcterms:W3CDTF">2014-06-17T11:25:00Z</dcterms:created>
  <dcterms:modified xsi:type="dcterms:W3CDTF">2014-06-17T11:25:00Z</dcterms:modified>
</cp:coreProperties>
</file>